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12" w:rsidRDefault="002D0C12" w:rsidP="002D0C12">
      <w:pPr>
        <w:jc w:val="center"/>
        <w:rPr>
          <w:b/>
          <w:sz w:val="28"/>
          <w:szCs w:val="28"/>
        </w:rPr>
      </w:pPr>
      <w:proofErr w:type="spellStart"/>
      <w:r w:rsidRPr="004145AD">
        <w:rPr>
          <w:b/>
          <w:sz w:val="28"/>
          <w:szCs w:val="28"/>
        </w:rPr>
        <w:t>Sportköri</w:t>
      </w:r>
      <w:proofErr w:type="spellEnd"/>
      <w:r w:rsidRPr="004145AD">
        <w:rPr>
          <w:b/>
          <w:sz w:val="28"/>
          <w:szCs w:val="28"/>
        </w:rPr>
        <w:t xml:space="preserve"> </w:t>
      </w:r>
      <w:proofErr w:type="spellStart"/>
      <w:r w:rsidRPr="004145AD">
        <w:rPr>
          <w:b/>
          <w:sz w:val="28"/>
          <w:szCs w:val="28"/>
        </w:rPr>
        <w:t>beszámoló</w:t>
      </w:r>
      <w:proofErr w:type="spellEnd"/>
      <w:r w:rsidRPr="004145A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2D0C12" w:rsidRPr="004145AD" w:rsidRDefault="002D0C12" w:rsidP="002D0C12">
      <w:pPr>
        <w:jc w:val="center"/>
        <w:rPr>
          <w:b/>
          <w:sz w:val="28"/>
          <w:szCs w:val="28"/>
        </w:rPr>
      </w:pPr>
    </w:p>
    <w:p w:rsidR="002D0C12" w:rsidRDefault="002D0C12" w:rsidP="002D0C12"/>
    <w:p w:rsidR="002D0C12" w:rsidRDefault="002D0C12" w:rsidP="002D0C12">
      <w:r>
        <w:t xml:space="preserve">A SZTAKI SC </w:t>
      </w:r>
      <w:proofErr w:type="spellStart"/>
      <w:r>
        <w:t>elnökségi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 2016-ban is </w:t>
      </w: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Adács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látták</w:t>
      </w:r>
      <w:proofErr w:type="spellEnd"/>
      <w:r>
        <w:t xml:space="preserve"> el.</w:t>
      </w:r>
      <w:r w:rsidRPr="004D1832">
        <w:t xml:space="preserve"> </w:t>
      </w:r>
    </w:p>
    <w:p w:rsidR="002D0C12" w:rsidRDefault="002D0C12" w:rsidP="002D0C12"/>
    <w:p w:rsidR="002D0C12" w:rsidRDefault="002D0C12" w:rsidP="002D0C12">
      <w:r>
        <w:t xml:space="preserve">2016. </w:t>
      </w:r>
      <w:proofErr w:type="spellStart"/>
      <w:proofErr w:type="gramStart"/>
      <w:r>
        <w:t>év</w:t>
      </w:r>
      <w:proofErr w:type="spellEnd"/>
      <w:proofErr w:type="gram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feladata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volt, </w:t>
      </w:r>
      <w:proofErr w:type="spellStart"/>
      <w:r>
        <w:t>hogy</w:t>
      </w:r>
      <w:proofErr w:type="spellEnd"/>
      <w:r>
        <w:t xml:space="preserve"> a 2015-ben </w:t>
      </w:r>
      <w:proofErr w:type="spellStart"/>
      <w:r>
        <w:t>eltervezett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megkezdett</w:t>
      </w:r>
      <w:proofErr w:type="spellEnd"/>
      <w:r>
        <w:t xml:space="preserve"> </w:t>
      </w:r>
      <w:proofErr w:type="spellStart"/>
      <w:r>
        <w:t>folyamatok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helyzetének</w:t>
      </w:r>
      <w:proofErr w:type="spellEnd"/>
      <w:r>
        <w:t xml:space="preserve"> </w:t>
      </w:r>
      <w:proofErr w:type="spellStart"/>
      <w:r>
        <w:t>stabilizálása</w:t>
      </w:r>
      <w:proofErr w:type="spellEnd"/>
      <w:r>
        <w:t xml:space="preserve"> </w:t>
      </w:r>
      <w:proofErr w:type="spellStart"/>
      <w:r>
        <w:t>folytatódjon</w:t>
      </w:r>
      <w:proofErr w:type="spellEnd"/>
      <w:r>
        <w:t xml:space="preserve">. </w:t>
      </w:r>
      <w:proofErr w:type="spellStart"/>
      <w:r>
        <w:t>Atámogatási</w:t>
      </w:r>
      <w:proofErr w:type="spellEnd"/>
      <w:r>
        <w:t xml:space="preserve"> </w:t>
      </w:r>
      <w:proofErr w:type="spellStart"/>
      <w:r>
        <w:t>elv</w:t>
      </w:r>
      <w:proofErr w:type="spellEnd"/>
      <w:r>
        <w:t xml:space="preserve"> </w:t>
      </w:r>
      <w:proofErr w:type="spellStart"/>
      <w:r>
        <w:t>lényege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kiadásait</w:t>
      </w:r>
      <w:proofErr w:type="spellEnd"/>
      <w:r>
        <w:t xml:space="preserve"> 2 </w:t>
      </w:r>
      <w:proofErr w:type="spellStart"/>
      <w:r>
        <w:t>forrásból</w:t>
      </w:r>
      <w:proofErr w:type="spellEnd"/>
      <w:r>
        <w:t xml:space="preserve">: a </w:t>
      </w:r>
      <w:proofErr w:type="spellStart"/>
      <w:r>
        <w:t>tagdíjbevételekből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támogatásból</w:t>
      </w:r>
      <w:proofErr w:type="spellEnd"/>
      <w:r>
        <w:t xml:space="preserve"> </w:t>
      </w:r>
      <w:proofErr w:type="spellStart"/>
      <w:r>
        <w:t>fedezzék</w:t>
      </w:r>
      <w:proofErr w:type="spellEnd"/>
      <w:r>
        <w:t xml:space="preserve"> 50-50 %-</w:t>
      </w:r>
      <w:proofErr w:type="spellStart"/>
      <w:r>
        <w:t>os</w:t>
      </w:r>
      <w:proofErr w:type="spellEnd"/>
      <w:r>
        <w:t xml:space="preserve"> </w:t>
      </w:r>
      <w:proofErr w:type="spellStart"/>
      <w:r>
        <w:t>arányban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elv</w:t>
      </w:r>
      <w:proofErr w:type="spellEnd"/>
      <w:r>
        <w:t xml:space="preserve"> </w:t>
      </w:r>
      <w:proofErr w:type="spellStart"/>
      <w:r>
        <w:t>praktikusan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átültetve</w:t>
      </w:r>
      <w:proofErr w:type="spellEnd"/>
      <w:r>
        <w:t xml:space="preserve"> a </w:t>
      </w:r>
      <w:proofErr w:type="spellStart"/>
      <w:r>
        <w:t>gyakorlatba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addig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meg a </w:t>
      </w:r>
      <w:proofErr w:type="spellStart"/>
      <w:r>
        <w:t>számlák</w:t>
      </w:r>
      <w:proofErr w:type="spellEnd"/>
      <w:r>
        <w:t xml:space="preserve"> </w:t>
      </w:r>
      <w:proofErr w:type="spellStart"/>
      <w:r>
        <w:t>kifizetése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számla</w:t>
      </w:r>
      <w:proofErr w:type="spellEnd"/>
      <w:r>
        <w:t xml:space="preserve"> </w:t>
      </w:r>
      <w:proofErr w:type="spellStart"/>
      <w:r>
        <w:t>értékének</w:t>
      </w:r>
      <w:proofErr w:type="spellEnd"/>
      <w:r>
        <w:t xml:space="preserve"> 50%-a be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folyt</w:t>
      </w:r>
      <w:proofErr w:type="spellEnd"/>
      <w:r>
        <w:t xml:space="preserve"> a </w:t>
      </w:r>
      <w:proofErr w:type="spellStart"/>
      <w:r>
        <w:t>tagdíjakból</w:t>
      </w:r>
      <w:proofErr w:type="spellEnd"/>
      <w:r>
        <w:t>.</w:t>
      </w:r>
    </w:p>
    <w:p w:rsidR="002D0C12" w:rsidRDefault="002D0C12" w:rsidP="002D0C12"/>
    <w:p w:rsidR="002D0C12" w:rsidRDefault="002D0C12" w:rsidP="002D0C12">
      <w:proofErr w:type="spellStart"/>
      <w:r>
        <w:t>Ahogy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táblázatokból</w:t>
      </w:r>
      <w:proofErr w:type="spellEnd"/>
      <w:r>
        <w:t xml:space="preserve"> </w:t>
      </w:r>
      <w:proofErr w:type="spellStart"/>
      <w:r>
        <w:t>látszik</w:t>
      </w:r>
      <w:proofErr w:type="spellEnd"/>
      <w:r>
        <w:t xml:space="preserve">, a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többé-kevésbé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 a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bevételeit</w:t>
      </w:r>
      <w:proofErr w:type="spellEnd"/>
      <w:r>
        <w:t xml:space="preserve">, </w:t>
      </w:r>
      <w:proofErr w:type="spellStart"/>
      <w:r>
        <w:t>kiadásait</w:t>
      </w:r>
      <w:proofErr w:type="spellEnd"/>
      <w:r>
        <w:t>.</w:t>
      </w:r>
    </w:p>
    <w:p w:rsidR="002D0C12" w:rsidRDefault="002D0C12" w:rsidP="002D0C12"/>
    <w:tbl>
      <w:tblPr>
        <w:tblW w:w="7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</w:tblGrid>
      <w:tr w:rsidR="002D0C12" w:rsidRPr="00705D6A" w:rsidTr="0063191B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2D0C12" w:rsidRPr="00705D6A" w:rsidRDefault="002D0C12" w:rsidP="0063191B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5528" w:type="dxa"/>
            <w:gridSpan w:val="3"/>
            <w:shd w:val="clear" w:color="000000" w:fill="C0C0C0"/>
            <w:vAlign w:val="bottom"/>
          </w:tcPr>
          <w:p w:rsidR="002D0C12" w:rsidRPr="00705D6A" w:rsidRDefault="002D0C12" w:rsidP="0063191B">
            <w:pPr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TERVEZETT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ámogatás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költség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</w:t>
            </w:r>
            <w:r>
              <w:rPr>
                <w:lang w:val="hu-HU" w:eastAsia="hu-HU"/>
              </w:rPr>
              <w:t>0</w:t>
            </w:r>
            <w:r w:rsidRPr="00705D6A">
              <w:rPr>
                <w:lang w:val="hu-HU" w:eastAsia="hu-HU"/>
              </w:rPr>
              <w:t>0 000</w:t>
            </w:r>
          </w:p>
        </w:tc>
        <w:tc>
          <w:tcPr>
            <w:tcW w:w="1843" w:type="dxa"/>
            <w:vAlign w:val="bottom"/>
          </w:tcPr>
          <w:p w:rsidR="002D0C12" w:rsidRPr="00705D6A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</w:t>
            </w:r>
            <w:r>
              <w:rPr>
                <w:lang w:val="hu-HU" w:eastAsia="hu-HU"/>
              </w:rPr>
              <w:t>0</w:t>
            </w:r>
            <w:r w:rsidRPr="00705D6A">
              <w:rPr>
                <w:lang w:val="hu-HU" w:eastAsia="hu-HU"/>
              </w:rPr>
              <w:t>0 000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 xml:space="preserve">1 </w:t>
            </w:r>
            <w:r>
              <w:rPr>
                <w:lang w:val="hu-HU" w:eastAsia="hu-HU"/>
              </w:rPr>
              <w:t>6</w:t>
            </w:r>
            <w:r w:rsidRPr="00705D6A">
              <w:rPr>
                <w:lang w:val="hu-HU" w:eastAsia="hu-HU"/>
              </w:rPr>
              <w:t>00 000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456 000</w:t>
            </w:r>
          </w:p>
        </w:tc>
        <w:tc>
          <w:tcPr>
            <w:tcW w:w="1843" w:type="dxa"/>
            <w:vAlign w:val="bottom"/>
          </w:tcPr>
          <w:p w:rsidR="002D0C12" w:rsidRPr="002D0C12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2D0C12">
              <w:rPr>
                <w:lang w:val="hu-HU" w:eastAsia="hu-HU"/>
              </w:rPr>
              <w:t>456 000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907 000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200 000</w:t>
            </w:r>
          </w:p>
        </w:tc>
        <w:tc>
          <w:tcPr>
            <w:tcW w:w="1843" w:type="dxa"/>
            <w:vAlign w:val="bottom"/>
          </w:tcPr>
          <w:p w:rsidR="002D0C12" w:rsidRPr="002D0C12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2D0C12">
              <w:rPr>
                <w:lang w:val="hu-HU" w:eastAsia="hu-HU"/>
              </w:rPr>
              <w:t>200 000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370 000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2D0C12" w:rsidRPr="002D0C12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2D0C12">
              <w:rPr>
                <w:lang w:val="hu-HU" w:eastAsia="hu-HU"/>
              </w:rPr>
              <w:t>120 000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240 000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75 000</w:t>
            </w:r>
          </w:p>
        </w:tc>
        <w:tc>
          <w:tcPr>
            <w:tcW w:w="1843" w:type="dxa"/>
            <w:vAlign w:val="bottom"/>
          </w:tcPr>
          <w:p w:rsidR="002D0C12" w:rsidRPr="002D0C12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2D0C12">
              <w:rPr>
                <w:lang w:val="hu-HU" w:eastAsia="hu-HU"/>
              </w:rPr>
              <w:t xml:space="preserve">75 000 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220 000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250 000</w:t>
            </w:r>
          </w:p>
        </w:tc>
        <w:tc>
          <w:tcPr>
            <w:tcW w:w="1843" w:type="dxa"/>
            <w:vAlign w:val="bottom"/>
          </w:tcPr>
          <w:p w:rsidR="002D0C12" w:rsidRPr="002D0C12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2D0C12">
              <w:rPr>
                <w:lang w:val="hu-HU" w:eastAsia="hu-HU"/>
              </w:rPr>
              <w:t>250 000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400 000</w:t>
            </w: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2D0C12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rPr>
                <w:lang w:val="hu-HU" w:eastAsia="hu-HU"/>
              </w:rPr>
            </w:pPr>
          </w:p>
        </w:tc>
        <w:tc>
          <w:tcPr>
            <w:tcW w:w="1843" w:type="dxa"/>
            <w:vAlign w:val="bottom"/>
          </w:tcPr>
          <w:p w:rsidR="002D0C12" w:rsidRPr="00705D6A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239 000*</w:t>
            </w:r>
          </w:p>
        </w:tc>
        <w:tc>
          <w:tcPr>
            <w:tcW w:w="1701" w:type="dxa"/>
            <w:vAlign w:val="bottom"/>
          </w:tcPr>
          <w:p w:rsidR="002D0C12" w:rsidRPr="00705D6A" w:rsidRDefault="002D0C12" w:rsidP="002D0C12">
            <w:pPr>
              <w:tabs>
                <w:tab w:val="left" w:pos="298"/>
              </w:tabs>
              <w:suppressAutoHyphens w:val="0"/>
              <w:rPr>
                <w:lang w:val="hu-HU" w:eastAsia="hu-HU"/>
              </w:rPr>
            </w:pPr>
          </w:p>
        </w:tc>
      </w:tr>
      <w:tr w:rsidR="002D0C12" w:rsidRPr="00705D6A" w:rsidTr="0063191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AD292B" w:rsidRDefault="002D0C12" w:rsidP="002D0C12">
            <w:pPr>
              <w:suppressAutoHyphens w:val="0"/>
              <w:rPr>
                <w:b/>
                <w:lang w:val="hu-HU" w:eastAsia="hu-HU"/>
              </w:rPr>
            </w:pPr>
            <w:r w:rsidRPr="00AD292B">
              <w:rPr>
                <w:b/>
                <w:lang w:val="hu-HU"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2D0C12">
            <w:pPr>
              <w:tabs>
                <w:tab w:val="left" w:pos="435"/>
              </w:tabs>
              <w:suppressAutoHyphens w:val="0"/>
              <w:jc w:val="center"/>
              <w:rPr>
                <w:b/>
                <w:lang w:val="hu-HU" w:eastAsia="hu-HU"/>
              </w:rPr>
            </w:pPr>
            <w:r w:rsidRPr="00F60060">
              <w:rPr>
                <w:b/>
                <w:lang w:val="hu-HU" w:eastAsia="hu-HU"/>
              </w:rPr>
              <w:t>1 901 000</w:t>
            </w:r>
          </w:p>
        </w:tc>
        <w:tc>
          <w:tcPr>
            <w:tcW w:w="1843" w:type="dxa"/>
            <w:vAlign w:val="bottom"/>
          </w:tcPr>
          <w:p w:rsidR="002D0C12" w:rsidRPr="00705D6A" w:rsidRDefault="002D0C12" w:rsidP="002D0C12">
            <w:pPr>
              <w:tabs>
                <w:tab w:val="left" w:pos="431"/>
              </w:tabs>
              <w:suppressAutoHyphens w:val="0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2 140</w:t>
            </w:r>
            <w:r w:rsidRPr="00F60060">
              <w:rPr>
                <w:b/>
                <w:lang w:val="hu-HU" w:eastAsia="hu-HU"/>
              </w:rPr>
              <w:t xml:space="preserve"> 000</w:t>
            </w:r>
          </w:p>
        </w:tc>
        <w:tc>
          <w:tcPr>
            <w:tcW w:w="1701" w:type="dxa"/>
            <w:vAlign w:val="bottom"/>
          </w:tcPr>
          <w:p w:rsidR="002D0C12" w:rsidRPr="0064445E" w:rsidRDefault="002D0C12" w:rsidP="002D0C12">
            <w:pPr>
              <w:pStyle w:val="Listaszerbekezds"/>
              <w:numPr>
                <w:ilvl w:val="0"/>
                <w:numId w:val="4"/>
              </w:numPr>
              <w:tabs>
                <w:tab w:val="left" w:pos="298"/>
              </w:tabs>
              <w:suppressAutoHyphens w:val="0"/>
              <w:jc w:val="center"/>
              <w:rPr>
                <w:b/>
                <w:lang w:val="hu-HU" w:eastAsia="hu-HU"/>
              </w:rPr>
            </w:pPr>
            <w:r w:rsidRPr="0064445E">
              <w:rPr>
                <w:b/>
                <w:lang w:val="hu-HU" w:eastAsia="hu-HU"/>
              </w:rPr>
              <w:t>737 000</w:t>
            </w:r>
          </w:p>
        </w:tc>
      </w:tr>
    </w:tbl>
    <w:p w:rsidR="002D0C12" w:rsidRDefault="002D0C12" w:rsidP="002D0C12">
      <w:pPr>
        <w:ind w:left="284"/>
        <w:jc w:val="both"/>
      </w:pPr>
      <w:r>
        <w:t xml:space="preserve">* </w:t>
      </w:r>
      <w:proofErr w:type="spellStart"/>
      <w:proofErr w:type="gramStart"/>
      <w:r>
        <w:t>arácsi</w:t>
      </w:r>
      <w:proofErr w:type="spellEnd"/>
      <w:proofErr w:type="gramEnd"/>
      <w:r>
        <w:t xml:space="preserve"> </w:t>
      </w:r>
      <w:proofErr w:type="spellStart"/>
      <w:r>
        <w:t>vitorlástábor</w:t>
      </w:r>
      <w:proofErr w:type="spellEnd"/>
      <w:r>
        <w:t xml:space="preserve"> </w:t>
      </w:r>
      <w:proofErr w:type="spellStart"/>
      <w:r>
        <w:t>költségeit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. A tabor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Pr="0064445E">
        <w:rPr>
          <w:lang w:val="hu-HU"/>
        </w:rPr>
        <w:t>Arácson</w:t>
      </w:r>
      <w:proofErr w:type="spellEnd"/>
      <w:r w:rsidRPr="0064445E">
        <w:rPr>
          <w:lang w:val="hu-HU"/>
        </w:rPr>
        <w:t xml:space="preserve"> üdülő vagy csak odalátogató kollégáknak és családtagjaiknak szerveződik</w:t>
      </w:r>
      <w:r>
        <w:rPr>
          <w:lang w:val="hu-HU"/>
        </w:rPr>
        <w:t>.</w:t>
      </w:r>
    </w:p>
    <w:p w:rsidR="002D0C12" w:rsidRDefault="002D0C12" w:rsidP="00191588">
      <w:pPr>
        <w:ind w:firstLine="480"/>
        <w:jc w:val="both"/>
        <w:rPr>
          <w:lang w:val="hu-HU"/>
        </w:rPr>
      </w:pPr>
    </w:p>
    <w:p w:rsidR="002D0C12" w:rsidRDefault="002D0C12" w:rsidP="00191588">
      <w:pPr>
        <w:ind w:firstLine="480"/>
        <w:jc w:val="both"/>
        <w:rPr>
          <w:lang w:val="hu-HU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559"/>
        <w:gridCol w:w="1559"/>
        <w:gridCol w:w="1418"/>
        <w:gridCol w:w="1417"/>
      </w:tblGrid>
      <w:tr w:rsidR="002D0C12" w:rsidRPr="002E2A6D" w:rsidTr="00AD292B">
        <w:trPr>
          <w:trHeight w:val="402"/>
        </w:trPr>
        <w:tc>
          <w:tcPr>
            <w:tcW w:w="1550" w:type="dxa"/>
            <w:vMerge w:val="restart"/>
            <w:shd w:val="clear" w:color="000000" w:fill="C0C0C0"/>
            <w:noWrap/>
            <w:vAlign w:val="bottom"/>
          </w:tcPr>
          <w:p w:rsidR="002D0C12" w:rsidRPr="002E2A6D" w:rsidRDefault="002D0C12" w:rsidP="0063191B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6237" w:type="dxa"/>
            <w:gridSpan w:val="4"/>
            <w:shd w:val="clear" w:color="000000" w:fill="C0C0C0"/>
          </w:tcPr>
          <w:p w:rsidR="002D0C12" w:rsidRPr="002E2A6D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TÉNYLEGES</w:t>
            </w:r>
          </w:p>
        </w:tc>
        <w:tc>
          <w:tcPr>
            <w:tcW w:w="1417" w:type="dxa"/>
            <w:vMerge w:val="restart"/>
            <w:shd w:val="clear" w:color="000000" w:fill="C0C0C0"/>
          </w:tcPr>
          <w:p w:rsidR="002D0C12" w:rsidRPr="002E2A6D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Kumulált</w:t>
            </w:r>
          </w:p>
          <w:p w:rsidR="002D0C12" w:rsidRPr="002E2A6D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egyenleg</w:t>
            </w:r>
          </w:p>
          <w:p w:rsidR="002D0C12" w:rsidRPr="002E2A6D" w:rsidRDefault="002D0C12" w:rsidP="0063191B">
            <w:pPr>
              <w:rPr>
                <w:b/>
                <w:bCs/>
                <w:lang w:val="hu-HU" w:eastAsia="hu-HU"/>
              </w:rPr>
            </w:pP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vMerge/>
            <w:shd w:val="clear" w:color="000000" w:fill="C0C0C0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701" w:type="dxa"/>
            <w:shd w:val="clear" w:color="000000" w:fill="C0C0C0"/>
          </w:tcPr>
          <w:p w:rsidR="002D0C12" w:rsidRPr="002E2A6D" w:rsidRDefault="002D0C12" w:rsidP="00AD292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tagdíjbevétel</w:t>
            </w:r>
          </w:p>
        </w:tc>
        <w:tc>
          <w:tcPr>
            <w:tcW w:w="1559" w:type="dxa"/>
            <w:shd w:val="clear" w:color="000000" w:fill="C0C0C0"/>
          </w:tcPr>
          <w:p w:rsidR="002D0C12" w:rsidRPr="002E2A6D" w:rsidRDefault="002D0C12" w:rsidP="00AD292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támogatás</w:t>
            </w:r>
          </w:p>
        </w:tc>
        <w:tc>
          <w:tcPr>
            <w:tcW w:w="1559" w:type="dxa"/>
            <w:shd w:val="clear" w:color="000000" w:fill="C0C0C0"/>
          </w:tcPr>
          <w:p w:rsidR="002D0C12" w:rsidRPr="002E2A6D" w:rsidRDefault="002D0C12" w:rsidP="00AD292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költség</w:t>
            </w:r>
          </w:p>
        </w:tc>
        <w:tc>
          <w:tcPr>
            <w:tcW w:w="1418" w:type="dxa"/>
            <w:shd w:val="clear" w:color="000000" w:fill="C0C0C0"/>
          </w:tcPr>
          <w:p w:rsidR="002D0C12" w:rsidRPr="002E2A6D" w:rsidRDefault="002D0C12" w:rsidP="00AD292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egyenleg</w:t>
            </w:r>
          </w:p>
        </w:tc>
        <w:tc>
          <w:tcPr>
            <w:tcW w:w="1417" w:type="dxa"/>
            <w:vMerge/>
            <w:shd w:val="clear" w:color="000000" w:fill="C0C0C0"/>
          </w:tcPr>
          <w:p w:rsidR="002D0C12" w:rsidRPr="002E2A6D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</w:tr>
      <w:tr w:rsidR="002D0C12" w:rsidRPr="0073790B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Tenisz</w:t>
            </w:r>
          </w:p>
        </w:tc>
        <w:tc>
          <w:tcPr>
            <w:tcW w:w="1701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827 400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2692A">
            <w:pPr>
              <w:suppressAutoHyphens w:val="0"/>
              <w:jc w:val="center"/>
            </w:pPr>
            <w:r w:rsidRPr="002C1F2C">
              <w:t>82</w:t>
            </w:r>
            <w:r w:rsidR="0022692A">
              <w:t>8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1 536 740</w:t>
            </w:r>
          </w:p>
        </w:tc>
        <w:tc>
          <w:tcPr>
            <w:tcW w:w="1418" w:type="dxa"/>
            <w:vAlign w:val="center"/>
          </w:tcPr>
          <w:p w:rsidR="002D0C12" w:rsidRPr="002C1F2C" w:rsidRDefault="002C1F2C" w:rsidP="002C1F2C">
            <w:pPr>
              <w:pStyle w:val="Listaszerbekezds"/>
              <w:tabs>
                <w:tab w:val="left" w:pos="196"/>
              </w:tabs>
              <w:suppressAutoHyphens w:val="0"/>
              <w:ind w:left="0"/>
              <w:jc w:val="center"/>
              <w:rPr>
                <w:lang w:eastAsia="zh-CN"/>
              </w:rPr>
            </w:pPr>
            <w:r w:rsidRPr="002C1F2C">
              <w:rPr>
                <w:lang w:eastAsia="zh-CN"/>
              </w:rPr>
              <w:t>115660</w:t>
            </w:r>
          </w:p>
        </w:tc>
        <w:tc>
          <w:tcPr>
            <w:tcW w:w="1417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-3 290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Labdarúgó</w:t>
            </w:r>
          </w:p>
        </w:tc>
        <w:tc>
          <w:tcPr>
            <w:tcW w:w="1701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495 200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495</w:t>
            </w:r>
            <w:r w:rsidR="00AD292B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927 415</w:t>
            </w:r>
          </w:p>
        </w:tc>
        <w:tc>
          <w:tcPr>
            <w:tcW w:w="1418" w:type="dxa"/>
            <w:vAlign w:val="center"/>
          </w:tcPr>
          <w:p w:rsidR="002D0C12" w:rsidRPr="002C1F2C" w:rsidRDefault="002C1F2C" w:rsidP="002C1F2C">
            <w:pPr>
              <w:tabs>
                <w:tab w:val="left" w:pos="196"/>
              </w:tabs>
              <w:suppressAutoHyphens w:val="0"/>
              <w:jc w:val="center"/>
            </w:pPr>
            <w:r w:rsidRPr="002C1F2C">
              <w:t>62</w:t>
            </w:r>
            <w:r w:rsidR="00694FF1">
              <w:t xml:space="preserve"> </w:t>
            </w:r>
            <w:r w:rsidRPr="002C1F2C">
              <w:t>785</w:t>
            </w:r>
          </w:p>
        </w:tc>
        <w:tc>
          <w:tcPr>
            <w:tcW w:w="1417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364 083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Vitorlás</w:t>
            </w:r>
          </w:p>
        </w:tc>
        <w:tc>
          <w:tcPr>
            <w:tcW w:w="1701" w:type="dxa"/>
            <w:vAlign w:val="center"/>
          </w:tcPr>
          <w:p w:rsidR="002D0C12" w:rsidRPr="002C1F2C" w:rsidRDefault="00694FF1" w:rsidP="002C1F2C">
            <w:pPr>
              <w:suppressAutoHyphens w:val="0"/>
              <w:jc w:val="center"/>
            </w:pPr>
            <w:r>
              <w:t>184 300</w:t>
            </w:r>
          </w:p>
        </w:tc>
        <w:tc>
          <w:tcPr>
            <w:tcW w:w="1559" w:type="dxa"/>
            <w:vAlign w:val="center"/>
          </w:tcPr>
          <w:p w:rsidR="002D0C12" w:rsidRPr="002C1F2C" w:rsidRDefault="00694FF1" w:rsidP="002C1F2C">
            <w:pPr>
              <w:suppressAutoHyphens w:val="0"/>
              <w:jc w:val="center"/>
            </w:pPr>
            <w:r>
              <w:t>185 000</w:t>
            </w:r>
          </w:p>
        </w:tc>
        <w:tc>
          <w:tcPr>
            <w:tcW w:w="1559" w:type="dxa"/>
            <w:vAlign w:val="center"/>
          </w:tcPr>
          <w:p w:rsidR="002D0C12" w:rsidRPr="002C1F2C" w:rsidRDefault="00694FF1" w:rsidP="002C1F2C">
            <w:pPr>
              <w:suppressAutoHyphens w:val="0"/>
              <w:jc w:val="center"/>
            </w:pPr>
            <w:r>
              <w:t>361 000</w:t>
            </w:r>
          </w:p>
        </w:tc>
        <w:tc>
          <w:tcPr>
            <w:tcW w:w="1418" w:type="dxa"/>
            <w:vAlign w:val="center"/>
          </w:tcPr>
          <w:p w:rsidR="002D0C12" w:rsidRPr="002C1F2C" w:rsidRDefault="00694FF1" w:rsidP="002C1F2C">
            <w:pPr>
              <w:tabs>
                <w:tab w:val="left" w:pos="196"/>
              </w:tabs>
              <w:suppressAutoHyphens w:val="0"/>
              <w:jc w:val="center"/>
            </w:pPr>
            <w:r>
              <w:t>8 300</w:t>
            </w:r>
          </w:p>
        </w:tc>
        <w:tc>
          <w:tcPr>
            <w:tcW w:w="1417" w:type="dxa"/>
            <w:vAlign w:val="center"/>
          </w:tcPr>
          <w:p w:rsidR="002D0C12" w:rsidRPr="00694FF1" w:rsidRDefault="00694FF1" w:rsidP="00694FF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AD292B">
              <w:t>241</w:t>
            </w:r>
            <w:r w:rsidRPr="00AD292B">
              <w:t> </w:t>
            </w:r>
            <w:r w:rsidRPr="00AD292B">
              <w:t>577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Evezős</w:t>
            </w:r>
          </w:p>
        </w:tc>
        <w:tc>
          <w:tcPr>
            <w:tcW w:w="1701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138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138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219 920</w:t>
            </w:r>
          </w:p>
        </w:tc>
        <w:tc>
          <w:tcPr>
            <w:tcW w:w="1418" w:type="dxa"/>
            <w:vAlign w:val="center"/>
          </w:tcPr>
          <w:p w:rsidR="002D0C12" w:rsidRPr="002C1F2C" w:rsidRDefault="002C1F2C" w:rsidP="002C1F2C">
            <w:pPr>
              <w:pStyle w:val="Listaszerbekezds"/>
              <w:tabs>
                <w:tab w:val="left" w:pos="196"/>
              </w:tabs>
              <w:suppressAutoHyphens w:val="0"/>
              <w:ind w:left="0"/>
              <w:jc w:val="center"/>
              <w:rPr>
                <w:lang w:eastAsia="zh-CN"/>
              </w:rPr>
            </w:pPr>
            <w:r w:rsidRPr="002C1F2C">
              <w:rPr>
                <w:lang w:eastAsia="zh-CN"/>
              </w:rPr>
              <w:t>56</w:t>
            </w:r>
            <w:r w:rsidR="00694FF1">
              <w:rPr>
                <w:lang w:eastAsia="zh-CN"/>
              </w:rPr>
              <w:t xml:space="preserve"> </w:t>
            </w:r>
            <w:r w:rsidRPr="002C1F2C">
              <w:rPr>
                <w:lang w:eastAsia="zh-CN"/>
              </w:rPr>
              <w:t>080</w:t>
            </w:r>
          </w:p>
        </w:tc>
        <w:tc>
          <w:tcPr>
            <w:tcW w:w="1417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-127 352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Kondi torna</w:t>
            </w:r>
          </w:p>
        </w:tc>
        <w:tc>
          <w:tcPr>
            <w:tcW w:w="1701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85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85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150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418" w:type="dxa"/>
            <w:vAlign w:val="center"/>
          </w:tcPr>
          <w:p w:rsidR="002D0C12" w:rsidRPr="002C1F2C" w:rsidRDefault="002C1F2C" w:rsidP="002C1F2C">
            <w:pPr>
              <w:tabs>
                <w:tab w:val="left" w:pos="196"/>
              </w:tabs>
              <w:suppressAutoHyphens w:val="0"/>
              <w:ind w:left="360"/>
              <w:jc w:val="center"/>
            </w:pPr>
            <w:r w:rsidRPr="002C1F2C">
              <w:t>20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417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157 170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r w:rsidRPr="002C1F2C">
              <w:t>Fallabda</w:t>
            </w:r>
          </w:p>
        </w:tc>
        <w:tc>
          <w:tcPr>
            <w:tcW w:w="1701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40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40</w:t>
            </w:r>
            <w:r w:rsidR="00694FF1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81 912</w:t>
            </w:r>
          </w:p>
        </w:tc>
        <w:tc>
          <w:tcPr>
            <w:tcW w:w="1418" w:type="dxa"/>
            <w:vAlign w:val="center"/>
          </w:tcPr>
          <w:p w:rsidR="002D0C12" w:rsidRPr="002C1F2C" w:rsidRDefault="002C1F2C" w:rsidP="002C1F2C">
            <w:pPr>
              <w:tabs>
                <w:tab w:val="left" w:pos="196"/>
              </w:tabs>
              <w:suppressAutoHyphens w:val="0"/>
              <w:jc w:val="center"/>
            </w:pPr>
            <w:r w:rsidRPr="002C1F2C">
              <w:t>-1912</w:t>
            </w:r>
          </w:p>
        </w:tc>
        <w:tc>
          <w:tcPr>
            <w:tcW w:w="1417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379 035</w:t>
            </w: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2C1F2C" w:rsidRDefault="002D0C12" w:rsidP="0063191B">
            <w:pPr>
              <w:suppressAutoHyphens w:val="0"/>
            </w:pPr>
            <w:proofErr w:type="spellStart"/>
            <w:r w:rsidRPr="002C1F2C">
              <w:t>Elnöki</w:t>
            </w:r>
            <w:proofErr w:type="spellEnd"/>
            <w:r w:rsidRPr="002C1F2C">
              <w:t xml:space="preserve"> </w:t>
            </w:r>
            <w:proofErr w:type="spellStart"/>
            <w:r w:rsidRPr="002C1F2C">
              <w:t>keret</w:t>
            </w:r>
            <w:proofErr w:type="spellEnd"/>
            <w:r w:rsidR="002C1F2C">
              <w:t>*</w:t>
            </w:r>
          </w:p>
        </w:tc>
        <w:tc>
          <w:tcPr>
            <w:tcW w:w="1701" w:type="dxa"/>
            <w:vAlign w:val="center"/>
          </w:tcPr>
          <w:p w:rsidR="002D0C12" w:rsidRPr="002C1F2C" w:rsidRDefault="002D0C12" w:rsidP="002C1F2C">
            <w:p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2D0C12" w:rsidRPr="002C1F2C" w:rsidRDefault="002C1F2C" w:rsidP="002C1F2C">
            <w:pPr>
              <w:suppressAutoHyphens w:val="0"/>
              <w:jc w:val="center"/>
            </w:pPr>
            <w:r w:rsidRPr="002C1F2C">
              <w:t>239</w:t>
            </w:r>
            <w:r w:rsidR="00AD292B">
              <w:t xml:space="preserve"> </w:t>
            </w:r>
            <w:r w:rsidRPr="002C1F2C">
              <w:t>000</w:t>
            </w:r>
          </w:p>
        </w:tc>
        <w:tc>
          <w:tcPr>
            <w:tcW w:w="1559" w:type="dxa"/>
            <w:vAlign w:val="center"/>
          </w:tcPr>
          <w:p w:rsidR="002D0C12" w:rsidRPr="002C1F2C" w:rsidRDefault="002D0C12" w:rsidP="002C1F2C">
            <w:pPr>
              <w:suppressAutoHyphens w:val="0"/>
              <w:jc w:val="center"/>
            </w:pPr>
          </w:p>
        </w:tc>
        <w:tc>
          <w:tcPr>
            <w:tcW w:w="1418" w:type="dxa"/>
            <w:vAlign w:val="center"/>
          </w:tcPr>
          <w:p w:rsidR="002D0C12" w:rsidRPr="002C1F2C" w:rsidRDefault="002D0C12" w:rsidP="002C1F2C">
            <w:pPr>
              <w:tabs>
                <w:tab w:val="left" w:pos="196"/>
              </w:tabs>
              <w:suppressAutoHyphens w:val="0"/>
              <w:jc w:val="center"/>
            </w:pPr>
          </w:p>
        </w:tc>
        <w:tc>
          <w:tcPr>
            <w:tcW w:w="1417" w:type="dxa"/>
            <w:vAlign w:val="center"/>
          </w:tcPr>
          <w:p w:rsidR="002D0C12" w:rsidRPr="002C1F2C" w:rsidRDefault="002D0C12" w:rsidP="002C1F2C">
            <w:pPr>
              <w:tabs>
                <w:tab w:val="left" w:pos="213"/>
              </w:tabs>
              <w:suppressAutoHyphens w:val="0"/>
              <w:ind w:left="-70"/>
              <w:jc w:val="center"/>
            </w:pPr>
          </w:p>
        </w:tc>
      </w:tr>
      <w:tr w:rsidR="002D0C12" w:rsidRPr="002E2A6D" w:rsidTr="00AD292B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D0C12" w:rsidRPr="00AD292B" w:rsidRDefault="002D0C12" w:rsidP="0063191B">
            <w:pPr>
              <w:suppressAutoHyphens w:val="0"/>
              <w:rPr>
                <w:b/>
              </w:rPr>
            </w:pPr>
            <w:r w:rsidRPr="00AD292B">
              <w:rPr>
                <w:b/>
              </w:rPr>
              <w:t>Összesen</w:t>
            </w:r>
          </w:p>
        </w:tc>
        <w:tc>
          <w:tcPr>
            <w:tcW w:w="1701" w:type="dxa"/>
            <w:vAlign w:val="center"/>
          </w:tcPr>
          <w:p w:rsidR="002D0C12" w:rsidRPr="00AD292B" w:rsidRDefault="00AD292B" w:rsidP="00AD292B">
            <w:pPr>
              <w:suppressAutoHyphens w:val="0"/>
              <w:jc w:val="center"/>
              <w:rPr>
                <w:b/>
              </w:rPr>
            </w:pPr>
            <w:r w:rsidRPr="00AD292B">
              <w:rPr>
                <w:b/>
              </w:rPr>
              <w:t>1 769 900</w:t>
            </w:r>
          </w:p>
        </w:tc>
        <w:tc>
          <w:tcPr>
            <w:tcW w:w="1559" w:type="dxa"/>
            <w:vAlign w:val="center"/>
          </w:tcPr>
          <w:p w:rsidR="002D0C12" w:rsidRPr="00AD292B" w:rsidRDefault="00AD292B" w:rsidP="00AD292B">
            <w:pPr>
              <w:suppressAutoHyphens w:val="0"/>
              <w:jc w:val="center"/>
              <w:rPr>
                <w:b/>
              </w:rPr>
            </w:pPr>
            <w:r w:rsidRPr="00AD292B">
              <w:rPr>
                <w:b/>
              </w:rPr>
              <w:t>2 010 000</w:t>
            </w:r>
          </w:p>
        </w:tc>
        <w:tc>
          <w:tcPr>
            <w:tcW w:w="1559" w:type="dxa"/>
            <w:vAlign w:val="center"/>
          </w:tcPr>
          <w:p w:rsidR="002D0C12" w:rsidRPr="00AD292B" w:rsidRDefault="00AD292B" w:rsidP="0063191B">
            <w:pPr>
              <w:suppressAutoHyphens w:val="0"/>
              <w:jc w:val="center"/>
              <w:rPr>
                <w:b/>
              </w:rPr>
            </w:pPr>
            <w:r w:rsidRPr="00AD292B">
              <w:rPr>
                <w:b/>
              </w:rPr>
              <w:t>3 276 987</w:t>
            </w:r>
          </w:p>
        </w:tc>
        <w:tc>
          <w:tcPr>
            <w:tcW w:w="1418" w:type="dxa"/>
            <w:vAlign w:val="center"/>
          </w:tcPr>
          <w:p w:rsidR="002D0C12" w:rsidRPr="002C1F2C" w:rsidRDefault="002D0C12" w:rsidP="0063191B">
            <w:pPr>
              <w:tabs>
                <w:tab w:val="left" w:pos="196"/>
              </w:tabs>
              <w:suppressAutoHyphens w:val="0"/>
              <w:jc w:val="center"/>
            </w:pPr>
          </w:p>
        </w:tc>
        <w:tc>
          <w:tcPr>
            <w:tcW w:w="1417" w:type="dxa"/>
            <w:vAlign w:val="center"/>
          </w:tcPr>
          <w:p w:rsidR="002D0C12" w:rsidRPr="002C1F2C" w:rsidRDefault="002D0C12" w:rsidP="0063191B">
            <w:pPr>
              <w:tabs>
                <w:tab w:val="left" w:pos="213"/>
              </w:tabs>
              <w:suppressAutoHyphens w:val="0"/>
              <w:ind w:left="-70"/>
              <w:jc w:val="right"/>
            </w:pPr>
          </w:p>
        </w:tc>
      </w:tr>
    </w:tbl>
    <w:p w:rsidR="002C1F2C" w:rsidRPr="002C1F2C" w:rsidRDefault="002C1F2C" w:rsidP="002C1F2C">
      <w:pPr>
        <w:jc w:val="both"/>
        <w:rPr>
          <w:lang w:val="hu-HU"/>
        </w:rPr>
      </w:pPr>
      <w:r>
        <w:rPr>
          <w:lang w:val="hu-HU"/>
        </w:rPr>
        <w:lastRenderedPageBreak/>
        <w:t xml:space="preserve">* Az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 augusztus 1 - 9 közötti időszakra lett időzítve, hogy két üdülőturnusnak is legyen alkalma vitorlázni. Idén is egy tőkesúlyos </w:t>
      </w:r>
      <w:proofErr w:type="spellStart"/>
      <w:r>
        <w:rPr>
          <w:lang w:val="hu-HU"/>
        </w:rPr>
        <w:t>Rebell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Seaskip</w:t>
      </w:r>
      <w:proofErr w:type="spellEnd"/>
      <w:r>
        <w:rPr>
          <w:lang w:val="hu-HU"/>
        </w:rPr>
        <w:t xml:space="preserve"> (Hófehérke) állt nem csak a vitorlás szakosztály tagjainak, hanem minden </w:t>
      </w:r>
      <w:proofErr w:type="spellStart"/>
      <w:r>
        <w:rPr>
          <w:lang w:val="hu-HU"/>
        </w:rPr>
        <w:t>sztakis</w:t>
      </w:r>
      <w:proofErr w:type="spellEnd"/>
      <w:r>
        <w:rPr>
          <w:lang w:val="hu-HU"/>
        </w:rPr>
        <w:t xml:space="preserve"> rendelkezésére. Így akkor is lehetőség volt vízre szállni, amikor másodfokú viharjelzés volt érvényben. A szakosztály tagjai idén is készséggel vitték sétavitorlázásra a </w:t>
      </w:r>
      <w:proofErr w:type="spellStart"/>
      <w:r>
        <w:rPr>
          <w:lang w:val="hu-HU"/>
        </w:rPr>
        <w:t>vízijártassági</w:t>
      </w:r>
      <w:proofErr w:type="spellEnd"/>
      <w:r>
        <w:rPr>
          <w:lang w:val="hu-HU"/>
        </w:rPr>
        <w:t xml:space="preserve"> vizsgával nem rendelkező kollégákat és családtagjaikat is.  Ezt az üdülők ki is használták és minden nap váltott utasokkal ment a hajó. </w:t>
      </w:r>
    </w:p>
    <w:p w:rsidR="002D0C12" w:rsidRDefault="002D0C12" w:rsidP="00191588">
      <w:pPr>
        <w:ind w:firstLine="480"/>
        <w:jc w:val="both"/>
        <w:rPr>
          <w:lang w:val="hu-HU"/>
        </w:rPr>
      </w:pP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1"/>
      </w:tblGrid>
      <w:tr w:rsidR="002D0C12" w:rsidRPr="00705D6A" w:rsidTr="00AD292B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2C1F2C" w:rsidRDefault="002C1F2C" w:rsidP="0063191B">
            <w:pPr>
              <w:rPr>
                <w:b/>
                <w:bCs/>
                <w:lang w:val="hu-HU" w:eastAsia="hu-HU"/>
              </w:rPr>
            </w:pPr>
          </w:p>
          <w:p w:rsidR="002D0C12" w:rsidRPr="00705D6A" w:rsidRDefault="002D0C12" w:rsidP="0063191B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5948" w:type="dxa"/>
            <w:gridSpan w:val="3"/>
            <w:shd w:val="clear" w:color="000000" w:fill="C0C0C0"/>
            <w:vAlign w:val="bottom"/>
          </w:tcPr>
          <w:p w:rsidR="002D0C12" w:rsidRPr="00705D6A" w:rsidRDefault="002D0C12" w:rsidP="00E24717">
            <w:pPr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TERVEZETT (201</w:t>
            </w:r>
            <w:r w:rsidR="00E24717">
              <w:rPr>
                <w:b/>
                <w:bCs/>
                <w:lang w:val="hu-HU" w:eastAsia="hu-HU"/>
              </w:rPr>
              <w:t xml:space="preserve">7 </w:t>
            </w:r>
            <w:bookmarkStart w:id="0" w:name="_GoBack"/>
            <w:bookmarkEnd w:id="0"/>
            <w:r>
              <w:rPr>
                <w:b/>
                <w:bCs/>
                <w:lang w:val="hu-HU" w:eastAsia="hu-HU"/>
              </w:rPr>
              <w:t>év)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ámogatás</w:t>
            </w:r>
          </w:p>
        </w:tc>
        <w:tc>
          <w:tcPr>
            <w:tcW w:w="2121" w:type="dxa"/>
            <w:shd w:val="clear" w:color="000000" w:fill="C0C0C0"/>
            <w:vAlign w:val="bottom"/>
          </w:tcPr>
          <w:p w:rsidR="002D0C12" w:rsidRPr="00705D6A" w:rsidRDefault="002D0C12" w:rsidP="0063191B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költség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2D0C12" w:rsidRPr="00705D6A" w:rsidRDefault="0022692A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700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1843" w:type="dxa"/>
            <w:vAlign w:val="bottom"/>
          </w:tcPr>
          <w:p w:rsidR="002D0C12" w:rsidRPr="00705D6A" w:rsidRDefault="007B6FA2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700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2121" w:type="dxa"/>
            <w:vAlign w:val="bottom"/>
          </w:tcPr>
          <w:p w:rsidR="0022692A" w:rsidRPr="00705D6A" w:rsidRDefault="0022692A" w:rsidP="0022692A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</w:t>
            </w:r>
            <w:r w:rsidR="00AD292B">
              <w:rPr>
                <w:lang w:val="hu-HU" w:eastAsia="hu-HU"/>
              </w:rPr>
              <w:t> </w:t>
            </w:r>
            <w:r>
              <w:rPr>
                <w:lang w:val="hu-HU" w:eastAsia="hu-HU"/>
              </w:rPr>
              <w:t>400</w:t>
            </w:r>
            <w:r w:rsidR="00AD292B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2D0C12" w:rsidRPr="00705D6A" w:rsidRDefault="00AD1762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460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1843" w:type="dxa"/>
            <w:vAlign w:val="bottom"/>
          </w:tcPr>
          <w:p w:rsidR="002D0C12" w:rsidRPr="00705D6A" w:rsidRDefault="00AD1762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460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2121" w:type="dxa"/>
            <w:vAlign w:val="bottom"/>
          </w:tcPr>
          <w:p w:rsidR="002D0C12" w:rsidRPr="00705D6A" w:rsidRDefault="00AD1762" w:rsidP="0063191B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843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2D0C12" w:rsidRPr="00705D6A" w:rsidRDefault="00571CE3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1843" w:type="dxa"/>
            <w:vAlign w:val="bottom"/>
          </w:tcPr>
          <w:p w:rsidR="002D0C12" w:rsidRPr="00705D6A" w:rsidRDefault="00571CE3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</w:t>
            </w:r>
            <w:r w:rsidR="00694FF1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>000</w:t>
            </w:r>
          </w:p>
        </w:tc>
        <w:tc>
          <w:tcPr>
            <w:tcW w:w="2121" w:type="dxa"/>
            <w:vAlign w:val="bottom"/>
          </w:tcPr>
          <w:p w:rsidR="002D0C12" w:rsidRPr="00705D6A" w:rsidRDefault="00694FF1" w:rsidP="0063191B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400 000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2D0C12" w:rsidRPr="00705D6A" w:rsidRDefault="00694FF1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2D0C12" w:rsidRPr="00705D6A" w:rsidRDefault="00694FF1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2121" w:type="dxa"/>
            <w:vAlign w:val="bottom"/>
          </w:tcPr>
          <w:p w:rsidR="002D0C12" w:rsidRPr="00705D6A" w:rsidRDefault="00694FF1" w:rsidP="0063191B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240 000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2D0C12" w:rsidRPr="00705D6A" w:rsidRDefault="00694FF1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2D0C12" w:rsidRPr="00705D6A" w:rsidRDefault="00694FF1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2121" w:type="dxa"/>
            <w:vAlign w:val="bottom"/>
          </w:tcPr>
          <w:p w:rsidR="002D0C12" w:rsidRPr="00705D6A" w:rsidRDefault="00694FF1" w:rsidP="0063191B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280 000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2D0C12" w:rsidRPr="00705D6A" w:rsidRDefault="007B6FA2" w:rsidP="0063191B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100</w:t>
            </w:r>
            <w:r w:rsidR="00AD292B">
              <w:rPr>
                <w:lang w:val="hu-HU" w:eastAsia="hu-HU"/>
              </w:rPr>
              <w:t xml:space="preserve"> </w:t>
            </w:r>
            <w:r w:rsidR="00571CE3">
              <w:rPr>
                <w:lang w:val="hu-HU" w:eastAsia="hu-HU"/>
              </w:rPr>
              <w:t>000</w:t>
            </w:r>
          </w:p>
        </w:tc>
        <w:tc>
          <w:tcPr>
            <w:tcW w:w="1843" w:type="dxa"/>
            <w:vAlign w:val="bottom"/>
          </w:tcPr>
          <w:p w:rsidR="002D0C12" w:rsidRPr="00705D6A" w:rsidRDefault="007B6FA2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100</w:t>
            </w:r>
            <w:r w:rsidR="00AD292B">
              <w:rPr>
                <w:lang w:val="hu-HU" w:eastAsia="hu-HU"/>
              </w:rPr>
              <w:t xml:space="preserve"> </w:t>
            </w:r>
            <w:r w:rsidR="00571CE3">
              <w:rPr>
                <w:lang w:val="hu-HU" w:eastAsia="hu-HU"/>
              </w:rPr>
              <w:t>000</w:t>
            </w:r>
          </w:p>
        </w:tc>
        <w:tc>
          <w:tcPr>
            <w:tcW w:w="2121" w:type="dxa"/>
            <w:vAlign w:val="bottom"/>
          </w:tcPr>
          <w:p w:rsidR="002D0C12" w:rsidRPr="00705D6A" w:rsidRDefault="007B6FA2" w:rsidP="0063191B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</w:t>
            </w:r>
            <w:r w:rsidR="00571CE3">
              <w:rPr>
                <w:lang w:val="hu-HU" w:eastAsia="hu-HU"/>
              </w:rPr>
              <w:t>00</w:t>
            </w:r>
            <w:r w:rsidR="00AD292B">
              <w:rPr>
                <w:lang w:val="hu-HU" w:eastAsia="hu-HU"/>
              </w:rPr>
              <w:t xml:space="preserve"> </w:t>
            </w:r>
            <w:r w:rsidR="00571CE3">
              <w:rPr>
                <w:lang w:val="hu-HU" w:eastAsia="hu-HU"/>
              </w:rPr>
              <w:t>000</w:t>
            </w:r>
          </w:p>
        </w:tc>
      </w:tr>
      <w:tr w:rsidR="002D0C12" w:rsidRPr="00705D6A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2D0C12" w:rsidRPr="00705D6A" w:rsidRDefault="002D0C12" w:rsidP="0063191B">
            <w:pPr>
              <w:tabs>
                <w:tab w:val="left" w:pos="435"/>
              </w:tabs>
              <w:suppressAutoHyphens w:val="0"/>
              <w:rPr>
                <w:lang w:val="hu-HU" w:eastAsia="hu-HU"/>
              </w:rPr>
            </w:pPr>
          </w:p>
        </w:tc>
        <w:tc>
          <w:tcPr>
            <w:tcW w:w="1843" w:type="dxa"/>
            <w:vAlign w:val="bottom"/>
          </w:tcPr>
          <w:p w:rsidR="002D0C12" w:rsidRPr="00705D6A" w:rsidRDefault="00AD1762" w:rsidP="0063191B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240000*</w:t>
            </w:r>
          </w:p>
        </w:tc>
        <w:tc>
          <w:tcPr>
            <w:tcW w:w="2121" w:type="dxa"/>
            <w:vAlign w:val="bottom"/>
          </w:tcPr>
          <w:p w:rsidR="002D0C12" w:rsidRPr="00705D6A" w:rsidRDefault="002D0C12" w:rsidP="0063191B">
            <w:pPr>
              <w:tabs>
                <w:tab w:val="left" w:pos="298"/>
              </w:tabs>
              <w:suppressAutoHyphens w:val="0"/>
              <w:rPr>
                <w:lang w:val="hu-HU" w:eastAsia="hu-HU"/>
              </w:rPr>
            </w:pPr>
          </w:p>
        </w:tc>
      </w:tr>
      <w:tr w:rsidR="002D0C12" w:rsidRPr="0064445E" w:rsidTr="00AD292B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D0C12" w:rsidRPr="00705D6A" w:rsidRDefault="002D0C12" w:rsidP="0063191B">
            <w:pPr>
              <w:suppressAutoHyphens w:val="0"/>
              <w:rPr>
                <w:b/>
                <w:lang w:val="hu-HU" w:eastAsia="hu-HU"/>
              </w:rPr>
            </w:pPr>
            <w:r w:rsidRPr="00705D6A">
              <w:rPr>
                <w:b/>
                <w:lang w:val="hu-HU"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2D0C12" w:rsidRPr="00705D6A" w:rsidRDefault="00AD292B" w:rsidP="0063191B">
            <w:pPr>
              <w:tabs>
                <w:tab w:val="left" w:pos="435"/>
              </w:tabs>
              <w:suppressAutoHyphens w:val="0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1700 000</w:t>
            </w:r>
          </w:p>
        </w:tc>
        <w:tc>
          <w:tcPr>
            <w:tcW w:w="1843" w:type="dxa"/>
            <w:vAlign w:val="bottom"/>
          </w:tcPr>
          <w:p w:rsidR="002D0C12" w:rsidRPr="00705D6A" w:rsidRDefault="00AD292B" w:rsidP="0063191B">
            <w:pPr>
              <w:tabs>
                <w:tab w:val="left" w:pos="431"/>
              </w:tabs>
              <w:suppressAutoHyphens w:val="0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1 940 000</w:t>
            </w:r>
          </w:p>
        </w:tc>
        <w:tc>
          <w:tcPr>
            <w:tcW w:w="2121" w:type="dxa"/>
            <w:vAlign w:val="bottom"/>
          </w:tcPr>
          <w:p w:rsidR="002D0C12" w:rsidRPr="0064445E" w:rsidRDefault="00AD292B" w:rsidP="00AD292B">
            <w:pPr>
              <w:pStyle w:val="Listaszerbekezds"/>
              <w:tabs>
                <w:tab w:val="left" w:pos="298"/>
              </w:tabs>
              <w:suppressAutoHyphens w:val="0"/>
              <w:ind w:hanging="795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3 363 000</w:t>
            </w:r>
          </w:p>
        </w:tc>
      </w:tr>
    </w:tbl>
    <w:p w:rsidR="00AD1762" w:rsidRDefault="00AD1762" w:rsidP="00AD1762">
      <w:pPr>
        <w:ind w:left="284"/>
        <w:jc w:val="both"/>
      </w:pPr>
      <w:r>
        <w:t xml:space="preserve">* </w:t>
      </w:r>
      <w:proofErr w:type="spellStart"/>
      <w:proofErr w:type="gramStart"/>
      <w:r>
        <w:t>arácsi</w:t>
      </w:r>
      <w:proofErr w:type="spellEnd"/>
      <w:proofErr w:type="gramEnd"/>
      <w:r>
        <w:t xml:space="preserve"> </w:t>
      </w:r>
      <w:proofErr w:type="spellStart"/>
      <w:r>
        <w:t>vitorlástábor</w:t>
      </w:r>
      <w:proofErr w:type="spellEnd"/>
      <w:r>
        <w:t xml:space="preserve"> </w:t>
      </w:r>
      <w:proofErr w:type="spellStart"/>
      <w:r>
        <w:t>költségeit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. A tabor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Pr="0064445E">
        <w:rPr>
          <w:lang w:val="hu-HU"/>
        </w:rPr>
        <w:t>Arácson</w:t>
      </w:r>
      <w:proofErr w:type="spellEnd"/>
      <w:r w:rsidRPr="0064445E">
        <w:rPr>
          <w:lang w:val="hu-HU"/>
        </w:rPr>
        <w:t xml:space="preserve"> üdülő vagy csak odalátogató kollégáknak és családtagjaiknak szerveződik</w:t>
      </w:r>
      <w:r>
        <w:rPr>
          <w:lang w:val="hu-HU"/>
        </w:rPr>
        <w:t>.</w:t>
      </w:r>
    </w:p>
    <w:p w:rsidR="002D0C12" w:rsidRDefault="002D0C12" w:rsidP="00191588">
      <w:pPr>
        <w:ind w:firstLine="480"/>
        <w:jc w:val="both"/>
        <w:rPr>
          <w:lang w:val="hu-HU"/>
        </w:rPr>
      </w:pPr>
    </w:p>
    <w:p w:rsidR="00191588" w:rsidRDefault="00191588" w:rsidP="00437C1A">
      <w:pPr>
        <w:ind w:firstLine="480"/>
        <w:jc w:val="both"/>
        <w:rPr>
          <w:lang w:val="hu-HU"/>
        </w:rPr>
      </w:pPr>
    </w:p>
    <w:p w:rsidR="00191588" w:rsidRDefault="00191588" w:rsidP="00437C1A">
      <w:pPr>
        <w:ind w:firstLine="480"/>
        <w:jc w:val="both"/>
        <w:rPr>
          <w:lang w:val="hu-HU"/>
        </w:rPr>
      </w:pPr>
    </w:p>
    <w:p w:rsidR="00437C1A" w:rsidRPr="00571CE3" w:rsidRDefault="00437C1A" w:rsidP="00BA2FCB">
      <w:pPr>
        <w:jc w:val="both"/>
        <w:rPr>
          <w:b/>
          <w:lang w:val="hu-HU"/>
        </w:rPr>
      </w:pPr>
      <w:r w:rsidRPr="00571CE3">
        <w:rPr>
          <w:b/>
          <w:lang w:val="hu-HU"/>
        </w:rPr>
        <w:t>Fallabda (</w:t>
      </w:r>
      <w:r w:rsidR="00BE7618" w:rsidRPr="00571CE3">
        <w:rPr>
          <w:b/>
          <w:lang w:val="hu-HU"/>
        </w:rPr>
        <w:t xml:space="preserve">Szakosztályvezető: </w:t>
      </w:r>
      <w:r w:rsidRPr="00571CE3">
        <w:rPr>
          <w:b/>
          <w:lang w:val="hu-HU"/>
        </w:rPr>
        <w:t>Rátóti Attila)</w:t>
      </w:r>
    </w:p>
    <w:p w:rsidR="00437C1A" w:rsidRPr="00571CE3" w:rsidRDefault="00437C1A" w:rsidP="00437C1A">
      <w:pPr>
        <w:jc w:val="both"/>
      </w:pPr>
    </w:p>
    <w:p w:rsidR="00437C1A" w:rsidRPr="00571CE3" w:rsidRDefault="00571CE3" w:rsidP="00437C1A">
      <w:pPr>
        <w:jc w:val="both"/>
      </w:pPr>
      <w:r w:rsidRPr="00571CE3">
        <w:t xml:space="preserve">A </w:t>
      </w:r>
      <w:proofErr w:type="spellStart"/>
      <w:r w:rsidRPr="00571CE3">
        <w:t>szakosztály</w:t>
      </w:r>
      <w:proofErr w:type="spellEnd"/>
      <w:r w:rsidRPr="00571CE3">
        <w:t xml:space="preserve"> </w:t>
      </w:r>
      <w:proofErr w:type="spellStart"/>
      <w:r w:rsidRPr="00571CE3">
        <w:t>tagjai</w:t>
      </w:r>
      <w:proofErr w:type="spellEnd"/>
      <w:r w:rsidR="00437C1A" w:rsidRPr="00571CE3">
        <w:t xml:space="preserve"> a Gold Crown </w:t>
      </w:r>
      <w:proofErr w:type="spellStart"/>
      <w:r w:rsidR="00437C1A" w:rsidRPr="00571CE3">
        <w:t>Szabadidőközpontba</w:t>
      </w:r>
      <w:proofErr w:type="spellEnd"/>
      <w:r w:rsidR="00437C1A" w:rsidRPr="00571CE3">
        <w:t xml:space="preserve"> </w:t>
      </w:r>
      <w:proofErr w:type="spellStart"/>
      <w:r w:rsidR="00437C1A" w:rsidRPr="00571CE3">
        <w:t>járnak</w:t>
      </w:r>
      <w:proofErr w:type="spellEnd"/>
      <w:r w:rsidR="00437C1A" w:rsidRPr="00571CE3">
        <w:t xml:space="preserve"> </w:t>
      </w:r>
      <w:proofErr w:type="spellStart"/>
      <w:r w:rsidR="00437C1A" w:rsidRPr="00571CE3">
        <w:t>játszani</w:t>
      </w:r>
      <w:proofErr w:type="spellEnd"/>
      <w:r w:rsidR="00437C1A" w:rsidRPr="00571CE3">
        <w:t xml:space="preserve">. </w:t>
      </w:r>
      <w:proofErr w:type="spellStart"/>
      <w:r w:rsidR="00437C1A" w:rsidRPr="00571CE3">
        <w:t>Ez</w:t>
      </w:r>
      <w:proofErr w:type="spellEnd"/>
      <w:r w:rsidR="00437C1A" w:rsidRPr="00571CE3">
        <w:t xml:space="preserve"> a </w:t>
      </w:r>
      <w:proofErr w:type="spellStart"/>
      <w:r w:rsidR="00437C1A" w:rsidRPr="00571CE3">
        <w:t>hely</w:t>
      </w:r>
      <w:proofErr w:type="spellEnd"/>
      <w:r w:rsidR="00437C1A" w:rsidRPr="00571CE3">
        <w:t xml:space="preserve"> </w:t>
      </w:r>
      <w:proofErr w:type="spellStart"/>
      <w:r w:rsidR="00437C1A" w:rsidRPr="00571CE3">
        <w:t>közel</w:t>
      </w:r>
      <w:proofErr w:type="spellEnd"/>
      <w:r w:rsidR="00437C1A" w:rsidRPr="00571CE3">
        <w:t xml:space="preserve"> </w:t>
      </w:r>
      <w:proofErr w:type="spellStart"/>
      <w:r w:rsidR="00437C1A" w:rsidRPr="00571CE3">
        <w:t>található</w:t>
      </w:r>
      <w:proofErr w:type="spellEnd"/>
      <w:r w:rsidR="00437C1A" w:rsidRPr="00571CE3">
        <w:t xml:space="preserve"> a SZTAKI-</w:t>
      </w:r>
      <w:proofErr w:type="spellStart"/>
      <w:r w:rsidR="00437C1A" w:rsidRPr="00571CE3">
        <w:t>hoz</w:t>
      </w:r>
      <w:proofErr w:type="spellEnd"/>
      <w:r w:rsidR="00437C1A" w:rsidRPr="00571CE3">
        <w:t xml:space="preserve"> </w:t>
      </w:r>
      <w:proofErr w:type="spellStart"/>
      <w:r w:rsidR="00437C1A" w:rsidRPr="00571CE3">
        <w:t>és</w:t>
      </w:r>
      <w:proofErr w:type="spellEnd"/>
      <w:r w:rsidR="00437C1A" w:rsidRPr="00571CE3">
        <w:t xml:space="preserve"> </w:t>
      </w:r>
      <w:proofErr w:type="spellStart"/>
      <w:r w:rsidR="00437C1A" w:rsidRPr="00571CE3">
        <w:t>itt</w:t>
      </w:r>
      <w:proofErr w:type="spellEnd"/>
      <w:r w:rsidR="00437C1A" w:rsidRPr="00571CE3">
        <w:t xml:space="preserve">, </w:t>
      </w:r>
      <w:proofErr w:type="spellStart"/>
      <w:r w:rsidR="00437C1A" w:rsidRPr="00571CE3">
        <w:t>szerződés</w:t>
      </w:r>
      <w:proofErr w:type="spellEnd"/>
      <w:r w:rsidR="00437C1A" w:rsidRPr="00571CE3">
        <w:t xml:space="preserve"> </w:t>
      </w:r>
      <w:proofErr w:type="spellStart"/>
      <w:r w:rsidR="00437C1A" w:rsidRPr="00571CE3">
        <w:t>keretében</w:t>
      </w:r>
      <w:proofErr w:type="spellEnd"/>
      <w:r w:rsidR="00437C1A" w:rsidRPr="00571CE3">
        <w:t xml:space="preserve">, </w:t>
      </w:r>
      <w:proofErr w:type="spellStart"/>
      <w:r w:rsidR="00437C1A" w:rsidRPr="00571CE3">
        <w:t>mérsékelt</w:t>
      </w:r>
      <w:proofErr w:type="spellEnd"/>
      <w:r w:rsidR="00437C1A" w:rsidRPr="00571CE3">
        <w:t>, 25%-</w:t>
      </w:r>
      <w:proofErr w:type="spellStart"/>
      <w:r w:rsidR="00437C1A" w:rsidRPr="00571CE3">
        <w:t>os</w:t>
      </w:r>
      <w:proofErr w:type="spellEnd"/>
      <w:r w:rsidR="00437C1A" w:rsidRPr="00571CE3">
        <w:t xml:space="preserve"> </w:t>
      </w:r>
      <w:proofErr w:type="spellStart"/>
      <w:r w:rsidR="00437C1A" w:rsidRPr="00571CE3">
        <w:t>kedvezménnyel</w:t>
      </w:r>
      <w:proofErr w:type="spellEnd"/>
      <w:r w:rsidR="00437C1A" w:rsidRPr="00571CE3">
        <w:t xml:space="preserve"> </w:t>
      </w:r>
      <w:proofErr w:type="spellStart"/>
      <w:r w:rsidR="00437C1A" w:rsidRPr="00571CE3">
        <w:t>tudunk</w:t>
      </w:r>
      <w:proofErr w:type="spellEnd"/>
      <w:r w:rsidR="00437C1A" w:rsidRPr="00571CE3">
        <w:t xml:space="preserve"> </w:t>
      </w:r>
      <w:proofErr w:type="spellStart"/>
      <w:r w:rsidR="00437C1A" w:rsidRPr="00571CE3">
        <w:t>fallabdázni</w:t>
      </w:r>
      <w:proofErr w:type="spellEnd"/>
      <w:r w:rsidR="00437C1A" w:rsidRPr="00571CE3">
        <w:t>.</w:t>
      </w:r>
    </w:p>
    <w:p w:rsidR="00437C1A" w:rsidRPr="00571CE3" w:rsidRDefault="00437C1A" w:rsidP="00437C1A">
      <w:pPr>
        <w:jc w:val="both"/>
      </w:pPr>
    </w:p>
    <w:p w:rsidR="00437C1A" w:rsidRPr="00571CE3" w:rsidRDefault="00571CE3" w:rsidP="00437C1A">
      <w:pPr>
        <w:jc w:val="both"/>
      </w:pPr>
      <w:proofErr w:type="spellStart"/>
      <w:r w:rsidRPr="00571CE3">
        <w:t>Sajnálatos</w:t>
      </w:r>
      <w:proofErr w:type="spellEnd"/>
      <w:r w:rsidRPr="00571CE3">
        <w:t xml:space="preserve">, </w:t>
      </w:r>
      <w:proofErr w:type="spellStart"/>
      <w:r w:rsidRPr="00571CE3">
        <w:t>hogy</w:t>
      </w:r>
      <w:proofErr w:type="spellEnd"/>
      <w:r w:rsidRPr="00571CE3">
        <w:t xml:space="preserve"> </w:t>
      </w:r>
      <w:r w:rsidR="00437C1A" w:rsidRPr="00571CE3">
        <w:t xml:space="preserve">2016. </w:t>
      </w:r>
      <w:proofErr w:type="spellStart"/>
      <w:proofErr w:type="gramStart"/>
      <w:r w:rsidR="00437C1A" w:rsidRPr="00571CE3">
        <w:t>év</w:t>
      </w:r>
      <w:proofErr w:type="spellEnd"/>
      <w:proofErr w:type="gramEnd"/>
      <w:r w:rsidR="00437C1A" w:rsidRPr="00571CE3">
        <w:t xml:space="preserve"> </w:t>
      </w:r>
      <w:proofErr w:type="spellStart"/>
      <w:r w:rsidR="00437C1A" w:rsidRPr="00571CE3">
        <w:t>során</w:t>
      </w:r>
      <w:proofErr w:type="spellEnd"/>
      <w:r w:rsidR="00437C1A" w:rsidRPr="00571CE3">
        <w:t xml:space="preserve"> </w:t>
      </w:r>
      <w:proofErr w:type="spellStart"/>
      <w:r w:rsidR="00437C1A" w:rsidRPr="00571CE3">
        <w:t>több</w:t>
      </w:r>
      <w:proofErr w:type="spellEnd"/>
      <w:r w:rsidR="00437C1A" w:rsidRPr="00571CE3">
        <w:t xml:space="preserve"> </w:t>
      </w:r>
      <w:proofErr w:type="spellStart"/>
      <w:r w:rsidR="00437C1A" w:rsidRPr="00571CE3">
        <w:t>fallabda</w:t>
      </w:r>
      <w:proofErr w:type="spellEnd"/>
      <w:r w:rsidR="00437C1A" w:rsidRPr="00571CE3">
        <w:t xml:space="preserve"> </w:t>
      </w:r>
      <w:proofErr w:type="spellStart"/>
      <w:r w:rsidR="00437C1A" w:rsidRPr="00571CE3">
        <w:t>szakosztály</w:t>
      </w:r>
      <w:proofErr w:type="spellEnd"/>
      <w:r w:rsidR="00437C1A" w:rsidRPr="00571CE3">
        <w:t xml:space="preserve"> </w:t>
      </w:r>
      <w:proofErr w:type="spellStart"/>
      <w:r w:rsidR="00437C1A" w:rsidRPr="00571CE3">
        <w:t>tagnak</w:t>
      </w:r>
      <w:proofErr w:type="spellEnd"/>
      <w:r w:rsidR="00437C1A" w:rsidRPr="00571CE3">
        <w:t xml:space="preserve"> </w:t>
      </w:r>
      <w:proofErr w:type="spellStart"/>
      <w:r w:rsidR="00437C1A" w:rsidRPr="00571CE3">
        <w:t>szűnt</w:t>
      </w:r>
      <w:proofErr w:type="spellEnd"/>
      <w:r w:rsidR="00437C1A" w:rsidRPr="00571CE3">
        <w:t xml:space="preserve"> meg a SZTAKI-s </w:t>
      </w:r>
      <w:proofErr w:type="spellStart"/>
      <w:r w:rsidR="00437C1A" w:rsidRPr="00571CE3">
        <w:t>munkaviszonya</w:t>
      </w:r>
      <w:proofErr w:type="spellEnd"/>
      <w:r w:rsidR="00437C1A" w:rsidRPr="00571CE3">
        <w:t xml:space="preserve">, </w:t>
      </w:r>
      <w:proofErr w:type="spellStart"/>
      <w:r w:rsidRPr="00571CE3">
        <w:t>és</w:t>
      </w:r>
      <w:proofErr w:type="spellEnd"/>
      <w:r w:rsidRPr="00571CE3">
        <w:t xml:space="preserve"> </w:t>
      </w:r>
      <w:proofErr w:type="spellStart"/>
      <w:r w:rsidRPr="00571CE3">
        <w:t>sokan</w:t>
      </w:r>
      <w:proofErr w:type="spellEnd"/>
      <w:r w:rsidRPr="00571CE3">
        <w:t xml:space="preserve"> </w:t>
      </w:r>
      <w:proofErr w:type="spellStart"/>
      <w:r w:rsidRPr="00571CE3">
        <w:t>mentek</w:t>
      </w:r>
      <w:proofErr w:type="spellEnd"/>
      <w:r w:rsidRPr="00571CE3">
        <w:t xml:space="preserve"> </w:t>
      </w:r>
      <w:proofErr w:type="spellStart"/>
      <w:r w:rsidRPr="00571CE3">
        <w:t>át</w:t>
      </w:r>
      <w:proofErr w:type="spellEnd"/>
      <w:r w:rsidRPr="00571CE3">
        <w:t xml:space="preserve"> a BME-re </w:t>
      </w:r>
      <w:proofErr w:type="spellStart"/>
      <w:r w:rsidRPr="00571CE3">
        <w:t>fallabdázni</w:t>
      </w:r>
      <w:proofErr w:type="spellEnd"/>
      <w:r w:rsidRPr="00571CE3">
        <w:t xml:space="preserve">. </w:t>
      </w:r>
      <w:proofErr w:type="spellStart"/>
      <w:r w:rsidRPr="00571CE3">
        <w:t>Í</w:t>
      </w:r>
      <w:r w:rsidR="00437C1A" w:rsidRPr="00571CE3">
        <w:t>gy</w:t>
      </w:r>
      <w:proofErr w:type="spellEnd"/>
      <w:r w:rsidR="00437C1A" w:rsidRPr="00571CE3">
        <w:t xml:space="preserve"> </w:t>
      </w:r>
      <w:proofErr w:type="spellStart"/>
      <w:r w:rsidRPr="00571CE3">
        <w:t>gyakorlatilag</w:t>
      </w:r>
      <w:proofErr w:type="spellEnd"/>
      <w:r w:rsidRPr="00571CE3">
        <w:t xml:space="preserve"> 1 </w:t>
      </w:r>
      <w:proofErr w:type="spellStart"/>
      <w:r w:rsidRPr="00571CE3">
        <w:t>főre</w:t>
      </w:r>
      <w:proofErr w:type="spellEnd"/>
      <w:r w:rsidRPr="00571CE3">
        <w:t xml:space="preserve"> </w:t>
      </w:r>
      <w:proofErr w:type="spellStart"/>
      <w:r w:rsidRPr="00571CE3">
        <w:t>csökkent</w:t>
      </w:r>
      <w:proofErr w:type="spellEnd"/>
      <w:r w:rsidRPr="00571CE3">
        <w:t xml:space="preserve"> a </w:t>
      </w:r>
      <w:proofErr w:type="spellStart"/>
      <w:r w:rsidRPr="00571CE3">
        <w:t>rendszeresen</w:t>
      </w:r>
      <w:proofErr w:type="spellEnd"/>
      <w:r w:rsidRPr="00571CE3">
        <w:t xml:space="preserve"> a Gold Crown-ban </w:t>
      </w:r>
      <w:proofErr w:type="spellStart"/>
      <w:r w:rsidRPr="00571CE3">
        <w:t>fallabdázók</w:t>
      </w:r>
      <w:proofErr w:type="spellEnd"/>
      <w:r w:rsidRPr="00571CE3">
        <w:t xml:space="preserve"> </w:t>
      </w:r>
      <w:proofErr w:type="spellStart"/>
      <w:r w:rsidRPr="00571CE3">
        <w:t>száma</w:t>
      </w:r>
      <w:proofErr w:type="spellEnd"/>
      <w:r w:rsidRPr="00571CE3">
        <w:t xml:space="preserve">. </w:t>
      </w:r>
      <w:r w:rsidR="00437C1A" w:rsidRPr="00571CE3">
        <w:t xml:space="preserve"> </w:t>
      </w:r>
    </w:p>
    <w:p w:rsidR="00571CE3" w:rsidRPr="00571CE3" w:rsidRDefault="00571CE3" w:rsidP="00437C1A">
      <w:pPr>
        <w:jc w:val="both"/>
      </w:pPr>
    </w:p>
    <w:p w:rsidR="00571CE3" w:rsidRPr="00571CE3" w:rsidRDefault="00571CE3" w:rsidP="00437C1A">
      <w:pPr>
        <w:jc w:val="both"/>
      </w:pPr>
      <w:r w:rsidRPr="00571CE3">
        <w:t xml:space="preserve">A 2017. </w:t>
      </w:r>
      <w:proofErr w:type="spellStart"/>
      <w:proofErr w:type="gramStart"/>
      <w:r w:rsidRPr="00571CE3">
        <w:t>év</w:t>
      </w:r>
      <w:proofErr w:type="spellEnd"/>
      <w:proofErr w:type="gramEnd"/>
      <w:r w:rsidRPr="00571CE3">
        <w:t xml:space="preserve"> </w:t>
      </w:r>
      <w:proofErr w:type="spellStart"/>
      <w:r w:rsidRPr="00571CE3">
        <w:t>legfontosabb</w:t>
      </w:r>
      <w:proofErr w:type="spellEnd"/>
      <w:r w:rsidRPr="00571CE3">
        <w:t xml:space="preserve"> </w:t>
      </w:r>
      <w:proofErr w:type="spellStart"/>
      <w:r w:rsidRPr="00571CE3">
        <w:t>feladata</w:t>
      </w:r>
      <w:proofErr w:type="spellEnd"/>
      <w:r w:rsidRPr="00571CE3">
        <w:t xml:space="preserve"> a </w:t>
      </w:r>
      <w:proofErr w:type="spellStart"/>
      <w:r w:rsidRPr="00571CE3">
        <w:t>fallaba</w:t>
      </w:r>
      <w:proofErr w:type="spellEnd"/>
      <w:r w:rsidRPr="00571CE3">
        <w:t xml:space="preserve"> SZTAKI-n </w:t>
      </w:r>
      <w:proofErr w:type="spellStart"/>
      <w:r w:rsidRPr="00571CE3">
        <w:t>belüli</w:t>
      </w:r>
      <w:proofErr w:type="spellEnd"/>
      <w:r w:rsidRPr="00571CE3">
        <w:t xml:space="preserve"> </w:t>
      </w:r>
      <w:proofErr w:type="spellStart"/>
      <w:r w:rsidRPr="00571CE3">
        <w:t>népszerűsítése</w:t>
      </w:r>
      <w:proofErr w:type="spellEnd"/>
      <w:r w:rsidRPr="00571CE3">
        <w:t xml:space="preserve"> </w:t>
      </w:r>
      <w:proofErr w:type="spellStart"/>
      <w:r w:rsidRPr="00571CE3">
        <w:t>kell</w:t>
      </w:r>
      <w:proofErr w:type="spellEnd"/>
      <w:r w:rsidRPr="00571CE3">
        <w:t xml:space="preserve">, </w:t>
      </w:r>
      <w:proofErr w:type="spellStart"/>
      <w:r w:rsidRPr="00571CE3">
        <w:t>hogy</w:t>
      </w:r>
      <w:proofErr w:type="spellEnd"/>
      <w:r w:rsidRPr="00571CE3">
        <w:t xml:space="preserve"> </w:t>
      </w:r>
      <w:proofErr w:type="spellStart"/>
      <w:r w:rsidRPr="00571CE3">
        <w:t>legyen</w:t>
      </w:r>
      <w:proofErr w:type="spellEnd"/>
      <w:r w:rsidRPr="00571CE3">
        <w:t xml:space="preserve">, </w:t>
      </w:r>
      <w:proofErr w:type="spellStart"/>
      <w:r w:rsidRPr="00571CE3">
        <w:t>illetve</w:t>
      </w:r>
      <w:proofErr w:type="spellEnd"/>
      <w:r w:rsidRPr="00571CE3">
        <w:t xml:space="preserve"> </w:t>
      </w:r>
      <w:proofErr w:type="spellStart"/>
      <w:r w:rsidRPr="00571CE3">
        <w:t>tárgyalásokat</w:t>
      </w:r>
      <w:proofErr w:type="spellEnd"/>
      <w:r w:rsidRPr="00571CE3">
        <w:t xml:space="preserve"> </w:t>
      </w:r>
      <w:proofErr w:type="spellStart"/>
      <w:r w:rsidRPr="00571CE3">
        <w:t>kell</w:t>
      </w:r>
      <w:proofErr w:type="spellEnd"/>
      <w:r w:rsidRPr="00571CE3">
        <w:t xml:space="preserve"> </w:t>
      </w:r>
      <w:proofErr w:type="spellStart"/>
      <w:r w:rsidRPr="00571CE3">
        <w:t>folytatni</w:t>
      </w:r>
      <w:proofErr w:type="spellEnd"/>
      <w:r w:rsidRPr="00571CE3">
        <w:t xml:space="preserve"> a BME-</w:t>
      </w:r>
      <w:proofErr w:type="spellStart"/>
      <w:r w:rsidRPr="00571CE3">
        <w:t>vel</w:t>
      </w:r>
      <w:proofErr w:type="spellEnd"/>
      <w:r w:rsidRPr="00571CE3">
        <w:t xml:space="preserve">, </w:t>
      </w:r>
      <w:proofErr w:type="spellStart"/>
      <w:r w:rsidRPr="00571CE3">
        <w:t>hogy</w:t>
      </w:r>
      <w:proofErr w:type="spellEnd"/>
      <w:r w:rsidRPr="00571CE3">
        <w:t xml:space="preserve"> </w:t>
      </w:r>
      <w:proofErr w:type="spellStart"/>
      <w:r w:rsidRPr="00571CE3">
        <w:t>milyen</w:t>
      </w:r>
      <w:proofErr w:type="spellEnd"/>
      <w:r w:rsidRPr="00571CE3">
        <w:t xml:space="preserve"> </w:t>
      </w:r>
      <w:proofErr w:type="spellStart"/>
      <w:r w:rsidRPr="00571CE3">
        <w:t>feltételekkel</w:t>
      </w:r>
      <w:proofErr w:type="spellEnd"/>
      <w:r w:rsidRPr="00571CE3">
        <w:t xml:space="preserve"> </w:t>
      </w:r>
      <w:proofErr w:type="spellStart"/>
      <w:r w:rsidRPr="00571CE3">
        <w:t>sportolhatnak</w:t>
      </w:r>
      <w:proofErr w:type="spellEnd"/>
      <w:r w:rsidRPr="00571CE3">
        <w:t xml:space="preserve"> a SZTAKI-</w:t>
      </w:r>
      <w:proofErr w:type="spellStart"/>
      <w:r w:rsidRPr="00571CE3">
        <w:t>sok</w:t>
      </w:r>
      <w:proofErr w:type="spellEnd"/>
      <w:r w:rsidRPr="00571CE3">
        <w:t xml:space="preserve"> a </w:t>
      </w:r>
      <w:proofErr w:type="spellStart"/>
      <w:r w:rsidRPr="00571CE3">
        <w:t>pályájukon</w:t>
      </w:r>
      <w:proofErr w:type="spellEnd"/>
      <w:r w:rsidRPr="00571CE3">
        <w:t>.</w:t>
      </w:r>
    </w:p>
    <w:p w:rsidR="00437C1A" w:rsidRDefault="00437C1A" w:rsidP="00437C1A">
      <w:pPr>
        <w:ind w:firstLine="480"/>
        <w:jc w:val="both"/>
        <w:rPr>
          <w:lang w:val="hu-HU"/>
        </w:rPr>
      </w:pPr>
    </w:p>
    <w:p w:rsidR="00BA2FCB" w:rsidRDefault="00BA2FCB" w:rsidP="00BA2FCB">
      <w:pPr>
        <w:jc w:val="both"/>
        <w:rPr>
          <w:b/>
          <w:lang w:val="hu-HU"/>
        </w:rPr>
      </w:pPr>
    </w:p>
    <w:p w:rsidR="00437C1A" w:rsidRPr="00571CE3" w:rsidRDefault="00437C1A" w:rsidP="00BA2FCB">
      <w:pPr>
        <w:jc w:val="both"/>
        <w:rPr>
          <w:b/>
          <w:lang w:val="hu-HU"/>
        </w:rPr>
      </w:pPr>
      <w:r w:rsidRPr="00571CE3">
        <w:rPr>
          <w:b/>
          <w:lang w:val="hu-HU"/>
        </w:rPr>
        <w:t>Vitorlás (</w:t>
      </w:r>
      <w:r w:rsidR="00BE7618" w:rsidRPr="00571CE3">
        <w:rPr>
          <w:b/>
          <w:lang w:val="hu-HU"/>
        </w:rPr>
        <w:t xml:space="preserve">Szakosztályvezető: </w:t>
      </w:r>
      <w:proofErr w:type="spellStart"/>
      <w:r w:rsidRPr="00571CE3">
        <w:rPr>
          <w:b/>
          <w:lang w:val="hu-HU"/>
        </w:rPr>
        <w:t>Bisztrai</w:t>
      </w:r>
      <w:proofErr w:type="spellEnd"/>
      <w:r w:rsidRPr="00571CE3">
        <w:rPr>
          <w:b/>
          <w:lang w:val="hu-HU"/>
        </w:rPr>
        <w:t xml:space="preserve"> Frigyes)</w:t>
      </w:r>
    </w:p>
    <w:p w:rsidR="00437C1A" w:rsidRDefault="00437C1A" w:rsidP="00BA2FCB">
      <w:pPr>
        <w:jc w:val="both"/>
        <w:rPr>
          <w:lang w:val="hu-HU"/>
        </w:rPr>
      </w:pPr>
    </w:p>
    <w:p w:rsidR="00437C1A" w:rsidRDefault="00437C1A" w:rsidP="00BA2FCB">
      <w:pPr>
        <w:jc w:val="both"/>
      </w:pPr>
      <w:r>
        <w:rPr>
          <w:lang w:val="hu-HU"/>
        </w:rPr>
        <w:t xml:space="preserve">2016-ös év is a korábban már megszokott program szerint telt. A szokásos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táboron kívül 3 hétvégi túrára került sor. Az első túra ismét Pünkösdkor volt (május 13-16). Ezen a rossz idő miatt csak egy hajó 4 főnyi legénységgel vett részt. A második tavaszi túrán, június 3-5 között 3 hajó 12 fővel futott ki a kikötőből. Az őszi túrán szeptember 9-11 között, szintén 3 hajóval 14 sporttársunk túrázott. Az első túrán nagyo</w:t>
      </w:r>
      <w:r w:rsidR="00571CE3">
        <w:rPr>
          <w:lang w:val="hu-HU"/>
        </w:rPr>
        <w:t>n</w:t>
      </w:r>
      <w:r>
        <w:rPr>
          <w:lang w:val="hu-HU"/>
        </w:rPr>
        <w:t xml:space="preserve"> rossz</w:t>
      </w:r>
      <w:r w:rsidR="00571CE3">
        <w:rPr>
          <w:lang w:val="hu-HU"/>
        </w:rPr>
        <w:t>,</w:t>
      </w:r>
      <w:r>
        <w:rPr>
          <w:lang w:val="hu-HU"/>
        </w:rPr>
        <w:t xml:space="preserve"> esős idő volt. A második túrán változó (napsütés/jégeső) körülmények között vitorlázhattunk. Az őszi túrán kis szemerkélés ránk </w:t>
      </w:r>
      <w:r>
        <w:rPr>
          <w:lang w:val="hu-HU"/>
        </w:rPr>
        <w:lastRenderedPageBreak/>
        <w:t>ijesztett, de összességében elfogadható idő volt. Az időjárástól függetlenül mindig jó hangulatú túrákat sikerült lebonyolítani. A szakosztály taglétszáma változatlan: 21 fő.</w:t>
      </w:r>
    </w:p>
    <w:p w:rsidR="00191588" w:rsidRDefault="00191588" w:rsidP="00437C1A">
      <w:pPr>
        <w:ind w:firstLine="480"/>
        <w:jc w:val="both"/>
        <w:rPr>
          <w:lang w:val="hu-HU"/>
        </w:rPr>
      </w:pPr>
    </w:p>
    <w:p w:rsidR="00BA2FCB" w:rsidRDefault="00BA2FCB" w:rsidP="00191588">
      <w:pPr>
        <w:spacing w:line="360" w:lineRule="auto"/>
        <w:jc w:val="both"/>
        <w:rPr>
          <w:b/>
        </w:rPr>
      </w:pPr>
    </w:p>
    <w:p w:rsidR="00191588" w:rsidRDefault="00191588" w:rsidP="00191588">
      <w:pPr>
        <w:spacing w:line="360" w:lineRule="auto"/>
        <w:jc w:val="both"/>
        <w:rPr>
          <w:b/>
        </w:rPr>
      </w:pPr>
      <w:proofErr w:type="spellStart"/>
      <w:r w:rsidRPr="007B6FA2">
        <w:rPr>
          <w:b/>
        </w:rPr>
        <w:t>Tenisz</w:t>
      </w:r>
      <w:proofErr w:type="spellEnd"/>
      <w:r w:rsidRPr="007B6FA2">
        <w:rPr>
          <w:b/>
        </w:rPr>
        <w:t xml:space="preserve"> (</w:t>
      </w:r>
      <w:r w:rsidR="00BE7618" w:rsidRPr="007B6FA2">
        <w:rPr>
          <w:b/>
          <w:lang w:val="hu-HU"/>
        </w:rPr>
        <w:t xml:space="preserve">Szakosztályvezető: </w:t>
      </w:r>
      <w:r w:rsidRPr="007B6FA2">
        <w:rPr>
          <w:b/>
        </w:rPr>
        <w:t xml:space="preserve">Kiss </w:t>
      </w:r>
      <w:proofErr w:type="spellStart"/>
      <w:r w:rsidRPr="007B6FA2">
        <w:rPr>
          <w:b/>
        </w:rPr>
        <w:t>Márton</w:t>
      </w:r>
      <w:proofErr w:type="spellEnd"/>
      <w:r w:rsidRPr="007B6FA2">
        <w:rPr>
          <w:b/>
        </w:rPr>
        <w:t xml:space="preserve">) </w:t>
      </w:r>
    </w:p>
    <w:p w:rsidR="00BA2FCB" w:rsidRPr="00BA2FCB" w:rsidRDefault="00BA2FCB" w:rsidP="00191588">
      <w:pPr>
        <w:spacing w:line="360" w:lineRule="auto"/>
        <w:jc w:val="both"/>
        <w:rPr>
          <w:b/>
        </w:rPr>
      </w:pPr>
    </w:p>
    <w:p w:rsidR="00191588" w:rsidRDefault="00191588" w:rsidP="00571CE3">
      <w:pPr>
        <w:jc w:val="both"/>
        <w:rPr>
          <w:lang w:val="hu-HU" w:eastAsia="en-US"/>
        </w:rPr>
      </w:pPr>
      <w:r>
        <w:t xml:space="preserve">2016-ban a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szezonban</w:t>
      </w:r>
      <w:proofErr w:type="spellEnd"/>
      <w:r>
        <w:t xml:space="preserve"> 19-en </w:t>
      </w:r>
      <w:proofErr w:type="spellStart"/>
      <w:r>
        <w:t>játszott</w:t>
      </w:r>
      <w:r w:rsidR="007B6FA2">
        <w:t>ak</w:t>
      </w:r>
      <w:proofErr w:type="spellEnd"/>
      <w:r w:rsidR="007B6FA2">
        <w:t xml:space="preserve"> </w:t>
      </w:r>
      <w:r>
        <w:t xml:space="preserve">250 </w:t>
      </w:r>
      <w:proofErr w:type="spellStart"/>
      <w:r>
        <w:t>órát</w:t>
      </w:r>
      <w:proofErr w:type="spellEnd"/>
      <w:r>
        <w:t xml:space="preserve"> fix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78 </w:t>
      </w:r>
      <w:proofErr w:type="spellStart"/>
      <w:r>
        <w:t>órát</w:t>
      </w:r>
      <w:proofErr w:type="spellEnd"/>
      <w:r>
        <w:t xml:space="preserve"> </w:t>
      </w:r>
      <w:proofErr w:type="spellStart"/>
      <w:r>
        <w:t>kötetlen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12-</w:t>
      </w:r>
      <w:r w:rsidR="007B6FA2">
        <w:t>e</w:t>
      </w:r>
      <w:r>
        <w:t xml:space="preserve">n </w:t>
      </w:r>
      <w:proofErr w:type="spellStart"/>
      <w:r>
        <w:t>voltak</w:t>
      </w:r>
      <w:proofErr w:type="spellEnd"/>
      <w:r>
        <w:t xml:space="preserve"> SZTAKI-s </w:t>
      </w:r>
      <w:proofErr w:type="spellStart"/>
      <w:r>
        <w:t>kollégák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7-en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külsős</w:t>
      </w:r>
      <w:proofErr w:type="spellEnd"/>
      <w:r>
        <w:t xml:space="preserve"> </w:t>
      </w:r>
      <w:proofErr w:type="spellStart"/>
      <w:r>
        <w:t>barátok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ősszel</w:t>
      </w:r>
      <w:proofErr w:type="spellEnd"/>
      <w:r>
        <w:t xml:space="preserve"> </w:t>
      </w:r>
      <w:proofErr w:type="spellStart"/>
      <w:r>
        <w:t>rendezett</w:t>
      </w:r>
      <w:proofErr w:type="spellEnd"/>
      <w:r>
        <w:t xml:space="preserve"> </w:t>
      </w:r>
      <w:proofErr w:type="spellStart"/>
      <w:r>
        <w:t>házibajnokságon</w:t>
      </w:r>
      <w:proofErr w:type="spellEnd"/>
      <w:r>
        <w:t xml:space="preserve"> 8 </w:t>
      </w:r>
      <w:proofErr w:type="spellStart"/>
      <w:r>
        <w:t>fő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</w:p>
    <w:p w:rsidR="00191588" w:rsidRDefault="00191588" w:rsidP="00571CE3">
      <w:pPr>
        <w:jc w:val="both"/>
      </w:pPr>
      <w:r>
        <w:t xml:space="preserve">A </w:t>
      </w:r>
      <w:proofErr w:type="spellStart"/>
      <w:r>
        <w:t>téli</w:t>
      </w:r>
      <w:proofErr w:type="spellEnd"/>
      <w:r>
        <w:t xml:space="preserve"> </w:t>
      </w:r>
      <w:proofErr w:type="spellStart"/>
      <w:r>
        <w:t>szezonban</w:t>
      </w:r>
      <w:proofErr w:type="spellEnd"/>
      <w:r>
        <w:t xml:space="preserve"> 16-</w:t>
      </w:r>
      <w:proofErr w:type="gramStart"/>
      <w:r>
        <w:t>an</w:t>
      </w:r>
      <w:proofErr w:type="gramEnd"/>
      <w:r>
        <w:t xml:space="preserve"> </w:t>
      </w:r>
      <w:proofErr w:type="spellStart"/>
      <w:r>
        <w:t>játszott</w:t>
      </w:r>
      <w:r w:rsidR="007B6FA2">
        <w:t>a</w:t>
      </w:r>
      <w:r>
        <w:t>k</w:t>
      </w:r>
      <w:proofErr w:type="spellEnd"/>
      <w:r>
        <w:t xml:space="preserve"> 182 fix </w:t>
      </w:r>
      <w:proofErr w:type="spellStart"/>
      <w:r>
        <w:t>órában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34 </w:t>
      </w:r>
      <w:proofErr w:type="spellStart"/>
      <w:r>
        <w:t>kötetlen</w:t>
      </w:r>
      <w:proofErr w:type="spellEnd"/>
      <w:r>
        <w:t xml:space="preserve"> </w:t>
      </w:r>
      <w:proofErr w:type="spellStart"/>
      <w:r>
        <w:t>órában</w:t>
      </w:r>
      <w:proofErr w:type="spellEnd"/>
      <w:r>
        <w:t xml:space="preserve">. </w:t>
      </w:r>
    </w:p>
    <w:p w:rsidR="00191588" w:rsidRDefault="00191588" w:rsidP="00571CE3">
      <w:pPr>
        <w:jc w:val="both"/>
      </w:pPr>
      <w:proofErr w:type="spellStart"/>
      <w:r>
        <w:t>Kiadás</w:t>
      </w:r>
      <w:r w:rsidR="007B6FA2">
        <w:t>o</w:t>
      </w:r>
      <w:r>
        <w:t>kat</w:t>
      </w:r>
      <w:proofErr w:type="spellEnd"/>
      <w:r>
        <w:t xml:space="preserve"> a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szezon</w:t>
      </w:r>
      <w:proofErr w:type="spellEnd"/>
      <w:r>
        <w:t xml:space="preserve"> 375 000 Ft-</w:t>
      </w:r>
      <w:proofErr w:type="spellStart"/>
      <w:r>
        <w:t>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téli</w:t>
      </w:r>
      <w:proofErr w:type="spellEnd"/>
      <w:r>
        <w:t xml:space="preserve"> </w:t>
      </w:r>
      <w:proofErr w:type="spellStart"/>
      <w:r>
        <w:t>szezon</w:t>
      </w:r>
      <w:proofErr w:type="spellEnd"/>
      <w:r>
        <w:t xml:space="preserve"> 850 000 Ft-</w:t>
      </w:r>
      <w:proofErr w:type="spellStart"/>
      <w:r>
        <w:t>os</w:t>
      </w:r>
      <w:proofErr w:type="spellEnd"/>
      <w:r>
        <w:t xml:space="preserve"> </w:t>
      </w:r>
      <w:proofErr w:type="spellStart"/>
      <w:r>
        <w:t>pályabérleti</w:t>
      </w:r>
      <w:proofErr w:type="spellEnd"/>
      <w:r>
        <w:t xml:space="preserve"> </w:t>
      </w:r>
      <w:proofErr w:type="spellStart"/>
      <w:r w:rsidR="007B6FA2">
        <w:t>díjai</w:t>
      </w:r>
      <w:proofErr w:type="spellEnd"/>
      <w:r w:rsidR="007B6FA2">
        <w:t xml:space="preserve"> </w:t>
      </w:r>
      <w:proofErr w:type="spellStart"/>
      <w:r>
        <w:t>mellett</w:t>
      </w:r>
      <w:proofErr w:type="spellEnd"/>
      <w:r>
        <w:t xml:space="preserve"> a </w:t>
      </w:r>
      <w:proofErr w:type="spellStart"/>
      <w:r>
        <w:t>házibajnokság</w:t>
      </w:r>
      <w:proofErr w:type="spellEnd"/>
      <w:r>
        <w:t xml:space="preserve"> 12 240 Ft-</w:t>
      </w:r>
      <w:proofErr w:type="spellStart"/>
      <w:r>
        <w:t>os</w:t>
      </w:r>
      <w:proofErr w:type="spellEnd"/>
      <w:r>
        <w:t xml:space="preserve"> </w:t>
      </w:r>
      <w:proofErr w:type="spellStart"/>
      <w:r>
        <w:t>nyeremény</w:t>
      </w:r>
      <w:proofErr w:type="spellEnd"/>
      <w:r>
        <w:t xml:space="preserve"> </w:t>
      </w:r>
      <w:proofErr w:type="spellStart"/>
      <w:r>
        <w:t>költsége</w:t>
      </w:r>
      <w:proofErr w:type="spellEnd"/>
      <w:r>
        <w:t xml:space="preserve"> </w:t>
      </w:r>
      <w:proofErr w:type="spellStart"/>
      <w:r>
        <w:t>képezte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kiadás</w:t>
      </w:r>
      <w:proofErr w:type="spellEnd"/>
      <w:r>
        <w:t xml:space="preserve"> 1 237 240 Ft volt.</w:t>
      </w:r>
    </w:p>
    <w:p w:rsidR="00191588" w:rsidRDefault="00191588" w:rsidP="00571CE3">
      <w:pPr>
        <w:spacing w:after="840"/>
        <w:jc w:val="both"/>
      </w:pPr>
      <w:r>
        <w:t xml:space="preserve">2017-ben kb. 18-fős </w:t>
      </w:r>
      <w:proofErr w:type="spellStart"/>
      <w:r>
        <w:t>csapattal</w:t>
      </w:r>
      <w:proofErr w:type="spellEnd"/>
      <w:r>
        <w:t xml:space="preserve"> </w:t>
      </w:r>
      <w:proofErr w:type="spellStart"/>
      <w:r w:rsidR="007B6FA2">
        <w:t>lehet</w:t>
      </w:r>
      <w:proofErr w:type="spellEnd"/>
      <w:r w:rsidR="007B6FA2">
        <w:t xml:space="preserve"> </w:t>
      </w:r>
      <w:proofErr w:type="spellStart"/>
      <w:r>
        <w:t>számol</w:t>
      </w:r>
      <w:r w:rsidR="007B6FA2">
        <w:t>ni</w:t>
      </w:r>
      <w:proofErr w:type="spellEnd"/>
      <w:r>
        <w:t xml:space="preserve">. </w:t>
      </w:r>
      <w:proofErr w:type="spellStart"/>
      <w:r>
        <w:t>Kiadásainkat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a </w:t>
      </w:r>
      <w:proofErr w:type="spellStart"/>
      <w:r>
        <w:t>pályabérletek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hagyománnyá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házibajnokságunk</w:t>
      </w:r>
      <w:proofErr w:type="spellEnd"/>
      <w:r>
        <w:t xml:space="preserve"> </w:t>
      </w:r>
      <w:proofErr w:type="spellStart"/>
      <w:r>
        <w:t>költségei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.  </w:t>
      </w:r>
      <w:proofErr w:type="spellStart"/>
      <w:r w:rsidR="00E57D83">
        <w:t>Támogatási</w:t>
      </w:r>
      <w:proofErr w:type="spellEnd"/>
      <w:r w:rsidR="00E57D83">
        <w:t xml:space="preserve"> </w:t>
      </w:r>
      <w:proofErr w:type="spellStart"/>
      <w:r w:rsidR="00E57D83">
        <w:t>igény</w:t>
      </w:r>
      <w:proofErr w:type="spellEnd"/>
      <w:r w:rsidR="00E57D83">
        <w:t>:</w:t>
      </w:r>
      <w:r>
        <w:t xml:space="preserve"> </w:t>
      </w:r>
      <w:r>
        <w:rPr>
          <w:i/>
        </w:rPr>
        <w:t>700 000 Ft</w:t>
      </w:r>
      <w:r w:rsidR="00E57D83">
        <w:t>.</w:t>
      </w:r>
    </w:p>
    <w:p w:rsidR="00191588" w:rsidRPr="00BA2FCB" w:rsidRDefault="00BE7618" w:rsidP="00BA2FCB">
      <w:pPr>
        <w:rPr>
          <w:b/>
          <w:lang w:val="hu-HU"/>
        </w:rPr>
      </w:pPr>
      <w:r w:rsidRPr="00BA2FCB">
        <w:rPr>
          <w:b/>
          <w:lang w:val="hu-HU"/>
        </w:rPr>
        <w:t>Labdarúgás (</w:t>
      </w:r>
      <w:r w:rsidRPr="00AD1762">
        <w:rPr>
          <w:b/>
          <w:lang w:val="hu-HU"/>
        </w:rPr>
        <w:t xml:space="preserve">Szakosztályvezető: </w:t>
      </w:r>
      <w:r w:rsidRPr="00BA2FCB">
        <w:rPr>
          <w:b/>
          <w:lang w:val="hu-HU"/>
        </w:rPr>
        <w:t>Horváth Markó)</w:t>
      </w:r>
    </w:p>
    <w:p w:rsidR="00AD1762" w:rsidRPr="00BA2FCB" w:rsidRDefault="00AD1762" w:rsidP="00BA2FCB">
      <w:pPr>
        <w:rPr>
          <w:b/>
          <w:lang w:val="hu-HU"/>
        </w:rPr>
      </w:pPr>
    </w:p>
    <w:p w:rsidR="00191588" w:rsidRPr="00AD1762" w:rsidRDefault="00191588" w:rsidP="00AD1762">
      <w:pPr>
        <w:jc w:val="both"/>
      </w:pP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elmúlt</w:t>
      </w:r>
      <w:proofErr w:type="spellEnd"/>
      <w:r w:rsidRPr="00AD1762">
        <w:t xml:space="preserve"> </w:t>
      </w:r>
      <w:proofErr w:type="spellStart"/>
      <w:r w:rsidRPr="00AD1762">
        <w:t>évek</w:t>
      </w:r>
      <w:proofErr w:type="spellEnd"/>
      <w:r w:rsidRPr="00AD1762">
        <w:t xml:space="preserve"> </w:t>
      </w:r>
      <w:proofErr w:type="spellStart"/>
      <w:r w:rsidRPr="00AD1762">
        <w:t>gyakorlatához</w:t>
      </w:r>
      <w:proofErr w:type="spellEnd"/>
      <w:r w:rsidRPr="00AD1762">
        <w:t xml:space="preserve"> </w:t>
      </w:r>
      <w:proofErr w:type="spellStart"/>
      <w:r w:rsidRPr="00AD1762">
        <w:t>hasonlóan</w:t>
      </w:r>
      <w:proofErr w:type="spellEnd"/>
      <w:r w:rsidRPr="00AD1762">
        <w:t xml:space="preserve">, a 2016-os </w:t>
      </w:r>
      <w:proofErr w:type="spellStart"/>
      <w:r w:rsidRPr="00AD1762">
        <w:t>évben</w:t>
      </w:r>
      <w:proofErr w:type="spellEnd"/>
      <w:r w:rsidRPr="00AD1762">
        <w:t xml:space="preserve"> is </w:t>
      </w:r>
      <w:proofErr w:type="spellStart"/>
      <w:r w:rsidRPr="00AD1762">
        <w:t>heti</w:t>
      </w:r>
      <w:proofErr w:type="spellEnd"/>
      <w:r w:rsidRPr="00AD1762">
        <w:t xml:space="preserve"> </w:t>
      </w:r>
      <w:proofErr w:type="spellStart"/>
      <w:r w:rsidRPr="00AD1762">
        <w:t>rendszerességgel</w:t>
      </w:r>
      <w:proofErr w:type="spellEnd"/>
      <w:r w:rsidRPr="00AD1762">
        <w:t xml:space="preserve"> (</w:t>
      </w:r>
      <w:proofErr w:type="spellStart"/>
      <w:r w:rsidRPr="00AD1762">
        <w:t>szerdánként</w:t>
      </w:r>
      <w:proofErr w:type="spellEnd"/>
      <w:r w:rsidRPr="00AD1762">
        <w:t xml:space="preserve">, 19:00-tól 20:30-ig) </w:t>
      </w:r>
      <w:proofErr w:type="spellStart"/>
      <w:r w:rsidRPr="00AD1762">
        <w:t>tartott</w:t>
      </w:r>
      <w:r w:rsidR="00AD1762">
        <w:t>a</w:t>
      </w:r>
      <w:r w:rsidRPr="00AD1762">
        <w:t>k</w:t>
      </w:r>
      <w:proofErr w:type="spellEnd"/>
      <w:r w:rsidRPr="00AD1762">
        <w:t xml:space="preserve"> </w:t>
      </w:r>
      <w:proofErr w:type="spellStart"/>
      <w:r w:rsidRPr="00AD1762">
        <w:t>sportfoglalkozásokat</w:t>
      </w:r>
      <w:proofErr w:type="spellEnd"/>
      <w:r w:rsidRPr="00AD1762">
        <w:t xml:space="preserve">. </w:t>
      </w:r>
      <w:proofErr w:type="gramStart"/>
      <w:r w:rsidRPr="00AD1762">
        <w:t>Az</w:t>
      </w:r>
      <w:proofErr w:type="gramEnd"/>
      <w:r w:rsidRPr="00AD1762">
        <w:t xml:space="preserve"> év </w:t>
      </w:r>
      <w:proofErr w:type="spellStart"/>
      <w:r w:rsidRPr="00AD1762">
        <w:t>nagy</w:t>
      </w:r>
      <w:proofErr w:type="spellEnd"/>
      <w:r w:rsidRPr="00AD1762">
        <w:t xml:space="preserve"> </w:t>
      </w:r>
      <w:proofErr w:type="spellStart"/>
      <w:r w:rsidRPr="00AD1762">
        <w:t>részében</w:t>
      </w:r>
      <w:proofErr w:type="spellEnd"/>
      <w:r w:rsidRPr="00AD1762">
        <w:t xml:space="preserve"> (41 </w:t>
      </w:r>
      <w:proofErr w:type="spellStart"/>
      <w:r w:rsidRPr="00AD1762">
        <w:t>alkalom</w:t>
      </w:r>
      <w:proofErr w:type="spellEnd"/>
      <w:r w:rsidRPr="00AD1762">
        <w:t xml:space="preserve">) a </w:t>
      </w:r>
      <w:proofErr w:type="spellStart"/>
      <w:r w:rsidRPr="00AD1762">
        <w:t>Városmajor</w:t>
      </w:r>
      <w:proofErr w:type="spellEnd"/>
      <w:r w:rsidRPr="00AD1762">
        <w:t xml:space="preserve"> </w:t>
      </w:r>
      <w:proofErr w:type="spellStart"/>
      <w:r w:rsidRPr="00AD1762">
        <w:t>utcai</w:t>
      </w:r>
      <w:proofErr w:type="spellEnd"/>
      <w:r w:rsidRPr="00AD1762">
        <w:t xml:space="preserve"> </w:t>
      </w:r>
      <w:proofErr w:type="spellStart"/>
      <w:r w:rsidRPr="00AD1762">
        <w:t>teremben</w:t>
      </w:r>
      <w:proofErr w:type="spellEnd"/>
      <w:r w:rsidRPr="00AD1762">
        <w:t>,</w:t>
      </w:r>
      <w:r w:rsidR="00AD1762">
        <w:t xml:space="preserve"> </w:t>
      </w:r>
      <w:proofErr w:type="spellStart"/>
      <w:r w:rsidRPr="00AD1762">
        <w:t>míg</w:t>
      </w:r>
      <w:proofErr w:type="spellEnd"/>
      <w:r w:rsidRPr="00AD1762">
        <w:t xml:space="preserve"> </w:t>
      </w:r>
      <w:proofErr w:type="spellStart"/>
      <w:r w:rsidRPr="00AD1762">
        <w:t>nyáron</w:t>
      </w:r>
      <w:proofErr w:type="spellEnd"/>
      <w:r w:rsidRPr="00AD1762">
        <w:t xml:space="preserve"> (10 </w:t>
      </w:r>
      <w:proofErr w:type="spellStart"/>
      <w:r w:rsidRPr="00AD1762">
        <w:t>alkalom</w:t>
      </w:r>
      <w:proofErr w:type="spellEnd"/>
      <w:r w:rsidRPr="00AD1762">
        <w:t xml:space="preserve">) </w:t>
      </w:r>
      <w:proofErr w:type="spellStart"/>
      <w:r w:rsidRPr="00AD1762">
        <w:t>az</w:t>
      </w:r>
      <w:proofErr w:type="spellEnd"/>
      <w:r w:rsidRPr="00AD1762">
        <w:t xml:space="preserve"> </w:t>
      </w:r>
      <w:proofErr w:type="spellStart"/>
      <w:r w:rsidRPr="00AD1762">
        <w:t>Andor</w:t>
      </w:r>
      <w:proofErr w:type="spellEnd"/>
      <w:r w:rsidRPr="00AD1762">
        <w:t xml:space="preserve"> </w:t>
      </w:r>
      <w:proofErr w:type="spellStart"/>
      <w:r w:rsidRPr="00AD1762">
        <w:t>utcai</w:t>
      </w:r>
      <w:proofErr w:type="spellEnd"/>
      <w:r w:rsidRPr="00AD1762">
        <w:t xml:space="preserve"> </w:t>
      </w:r>
      <w:proofErr w:type="spellStart"/>
      <w:r w:rsidRPr="00AD1762">
        <w:t>m</w:t>
      </w:r>
      <w:r w:rsidR="0008334F">
        <w:t>ű</w:t>
      </w:r>
      <w:r w:rsidRPr="00AD1762">
        <w:t>füves</w:t>
      </w:r>
      <w:proofErr w:type="spellEnd"/>
      <w:r w:rsidRPr="00AD1762">
        <w:t xml:space="preserve"> </w:t>
      </w:r>
      <w:proofErr w:type="spellStart"/>
      <w:r w:rsidRPr="00AD1762">
        <w:t>futballpályán</w:t>
      </w:r>
      <w:proofErr w:type="spellEnd"/>
      <w:r w:rsidRPr="00AD1762">
        <w:t xml:space="preserve"> </w:t>
      </w:r>
      <w:proofErr w:type="spellStart"/>
      <w:r w:rsidRPr="00AD1762">
        <w:t>játszott</w:t>
      </w:r>
      <w:r w:rsidR="0008334F">
        <w:t>a</w:t>
      </w:r>
      <w:r w:rsidRPr="00AD1762">
        <w:t>k</w:t>
      </w:r>
      <w:proofErr w:type="spellEnd"/>
      <w:r w:rsidRPr="00AD1762">
        <w:t xml:space="preserve">. A </w:t>
      </w:r>
      <w:proofErr w:type="spellStart"/>
      <w:r w:rsidRPr="00AD1762">
        <w:t>szakosztály</w:t>
      </w:r>
      <w:proofErr w:type="spellEnd"/>
      <w:r w:rsidR="00AD1762">
        <w:t xml:space="preserve"> </w:t>
      </w:r>
      <w:r w:rsidRPr="00AD1762">
        <w:t xml:space="preserve">2016-ban 19-21 </w:t>
      </w:r>
      <w:proofErr w:type="spellStart"/>
      <w:r w:rsidRPr="00AD1762">
        <w:t>aktív</w:t>
      </w:r>
      <w:proofErr w:type="spellEnd"/>
      <w:r w:rsidRPr="00AD1762">
        <w:t xml:space="preserve"> </w:t>
      </w:r>
      <w:proofErr w:type="spellStart"/>
      <w:r w:rsidRPr="00AD1762">
        <w:t>taggal</w:t>
      </w:r>
      <w:proofErr w:type="spellEnd"/>
      <w:r w:rsidRPr="00AD1762">
        <w:t xml:space="preserve"> </w:t>
      </w:r>
      <w:proofErr w:type="spellStart"/>
      <w:r w:rsidRPr="00AD1762">
        <w:t>rendelkezett</w:t>
      </w:r>
      <w:proofErr w:type="spellEnd"/>
      <w:r w:rsidRPr="00AD1762">
        <w:t xml:space="preserve">, </w:t>
      </w:r>
      <w:proofErr w:type="spellStart"/>
      <w:r w:rsidRPr="00AD1762">
        <w:t>akik</w:t>
      </w:r>
      <w:proofErr w:type="spellEnd"/>
      <w:r w:rsidRPr="00AD1762">
        <w:t xml:space="preserve"> </w:t>
      </w:r>
      <w:proofErr w:type="spellStart"/>
      <w:r w:rsidRPr="00AD1762">
        <w:t>közül</w:t>
      </w:r>
      <w:proofErr w:type="spellEnd"/>
      <w:r w:rsidRPr="00AD1762">
        <w:t xml:space="preserve"> a </w:t>
      </w:r>
      <w:proofErr w:type="spellStart"/>
      <w:r w:rsidRPr="00AD1762">
        <w:t>teremben</w:t>
      </w:r>
      <w:proofErr w:type="spellEnd"/>
      <w:r w:rsidRPr="00AD1762">
        <w:t xml:space="preserve"> </w:t>
      </w:r>
      <w:proofErr w:type="spellStart"/>
      <w:r w:rsidRPr="00AD1762">
        <w:t>alkalmanként</w:t>
      </w:r>
      <w:proofErr w:type="spellEnd"/>
      <w:r w:rsidRPr="00AD1762">
        <w:t xml:space="preserve"> 12-15, a </w:t>
      </w:r>
      <w:proofErr w:type="spellStart"/>
      <w:r w:rsidRPr="00AD1762">
        <w:t>m</w:t>
      </w:r>
      <w:r w:rsidR="00AD1762">
        <w:t>ű</w:t>
      </w:r>
      <w:r w:rsidRPr="00AD1762">
        <w:t>füves</w:t>
      </w:r>
      <w:proofErr w:type="spellEnd"/>
      <w:r w:rsidRPr="00AD1762">
        <w:t xml:space="preserve"> </w:t>
      </w:r>
      <w:proofErr w:type="spellStart"/>
      <w:r w:rsidRPr="00AD1762">
        <w:t>pályán</w:t>
      </w:r>
      <w:proofErr w:type="spellEnd"/>
      <w:r w:rsidR="00AD1762">
        <w:t xml:space="preserve"> </w:t>
      </w:r>
      <w:r w:rsidRPr="00AD1762">
        <w:t xml:space="preserve">10-12 </w:t>
      </w:r>
      <w:proofErr w:type="spellStart"/>
      <w:proofErr w:type="gramStart"/>
      <w:r w:rsidRPr="00AD1762">
        <w:t>f</w:t>
      </w:r>
      <w:r w:rsidR="00AD1762">
        <w:t>ő</w:t>
      </w:r>
      <w:proofErr w:type="spellEnd"/>
      <w:proofErr w:type="gramEnd"/>
      <w:r w:rsidRPr="00AD1762">
        <w:t xml:space="preserve"> volt </w:t>
      </w:r>
      <w:proofErr w:type="spellStart"/>
      <w:r w:rsidRPr="00AD1762">
        <w:t>jelen</w:t>
      </w:r>
      <w:proofErr w:type="spellEnd"/>
      <w:r w:rsidRPr="00AD1762">
        <w:t>.</w:t>
      </w:r>
    </w:p>
    <w:p w:rsidR="00191588" w:rsidRPr="00AD1762" w:rsidRDefault="00191588" w:rsidP="00AD1762">
      <w:pPr>
        <w:jc w:val="both"/>
      </w:pPr>
      <w:r w:rsidRPr="00AD1762">
        <w:t xml:space="preserve">November 20-án, 5 </w:t>
      </w:r>
      <w:proofErr w:type="spellStart"/>
      <w:r w:rsidRPr="00AD1762">
        <w:t>csapat</w:t>
      </w:r>
      <w:proofErr w:type="spellEnd"/>
      <w:r w:rsidRPr="00AD1762">
        <w:t xml:space="preserve"> (30 </w:t>
      </w:r>
      <w:proofErr w:type="spellStart"/>
      <w:proofErr w:type="gramStart"/>
      <w:r w:rsidRPr="00AD1762">
        <w:t>f</w:t>
      </w:r>
      <w:r w:rsidR="00AD1762">
        <w:t>ő</w:t>
      </w:r>
      <w:proofErr w:type="spellEnd"/>
      <w:proofErr w:type="gramEnd"/>
      <w:r w:rsidRPr="00AD1762">
        <w:t xml:space="preserve">, </w:t>
      </w:r>
      <w:proofErr w:type="spellStart"/>
      <w:r w:rsidRPr="00AD1762">
        <w:t>többségében</w:t>
      </w:r>
      <w:proofErr w:type="spellEnd"/>
      <w:r w:rsidRPr="00AD1762">
        <w:t xml:space="preserve"> </w:t>
      </w:r>
      <w:proofErr w:type="spellStart"/>
      <w:r w:rsidRPr="00AD1762">
        <w:t>sztakis</w:t>
      </w:r>
      <w:proofErr w:type="spellEnd"/>
      <w:r w:rsidRPr="00AD1762">
        <w:t xml:space="preserve">) </w:t>
      </w:r>
      <w:proofErr w:type="spellStart"/>
      <w:r w:rsidRPr="00AD1762">
        <w:t>részvételével</w:t>
      </w:r>
      <w:proofErr w:type="spellEnd"/>
      <w:r w:rsidRPr="00AD1762">
        <w:t xml:space="preserve"> </w:t>
      </w:r>
      <w:proofErr w:type="spellStart"/>
      <w:r w:rsidRPr="00AD1762">
        <w:t>megrendezésre</w:t>
      </w:r>
      <w:proofErr w:type="spellEnd"/>
      <w:r w:rsidRPr="00AD1762">
        <w:t xml:space="preserve"> </w:t>
      </w:r>
      <w:proofErr w:type="spellStart"/>
      <w:r w:rsidRPr="00AD1762">
        <w:t>került</w:t>
      </w:r>
      <w:proofErr w:type="spellEnd"/>
      <w:r w:rsidRPr="00AD1762">
        <w:t xml:space="preserve"> </w:t>
      </w:r>
      <w:proofErr w:type="spellStart"/>
      <w:r w:rsidRPr="00AD1762">
        <w:t>egy</w:t>
      </w:r>
      <w:proofErr w:type="spellEnd"/>
      <w:r w:rsidRPr="00AD1762">
        <w:t xml:space="preserve"> </w:t>
      </w:r>
      <w:proofErr w:type="spellStart"/>
      <w:r w:rsidRPr="00AD1762">
        <w:t>nagyon</w:t>
      </w:r>
      <w:proofErr w:type="spellEnd"/>
      <w:r w:rsidR="00AD1762">
        <w:t xml:space="preserve"> </w:t>
      </w:r>
      <w:proofErr w:type="spellStart"/>
      <w:r w:rsidRPr="00AD1762">
        <w:t>jó</w:t>
      </w:r>
      <w:proofErr w:type="spellEnd"/>
      <w:r w:rsidRPr="00AD1762">
        <w:t xml:space="preserve"> </w:t>
      </w:r>
      <w:proofErr w:type="spellStart"/>
      <w:r w:rsidRPr="00AD1762">
        <w:t>hangulatú</w:t>
      </w:r>
      <w:proofErr w:type="spellEnd"/>
      <w:r w:rsidRPr="00AD1762">
        <w:t xml:space="preserve"> SZTAKI </w:t>
      </w:r>
      <w:proofErr w:type="spellStart"/>
      <w:r w:rsidRPr="00AD1762">
        <w:t>Kupa</w:t>
      </w:r>
      <w:proofErr w:type="spellEnd"/>
      <w:r w:rsidRPr="00AD1762">
        <w:t>.</w:t>
      </w:r>
    </w:p>
    <w:p w:rsidR="00AD1762" w:rsidRDefault="00AD1762" w:rsidP="00AD1762">
      <w:pPr>
        <w:jc w:val="both"/>
      </w:pPr>
    </w:p>
    <w:p w:rsidR="00191588" w:rsidRPr="00AD1762" w:rsidRDefault="00191588" w:rsidP="00AD1762">
      <w:pPr>
        <w:jc w:val="both"/>
      </w:pPr>
      <w:r w:rsidRPr="00AD1762">
        <w:t xml:space="preserve">A </w:t>
      </w:r>
      <w:proofErr w:type="spellStart"/>
      <w:r w:rsidRPr="00AD1762">
        <w:t>szakosztály</w:t>
      </w:r>
      <w:proofErr w:type="spellEnd"/>
      <w:r w:rsidRPr="00AD1762">
        <w:t xml:space="preserve"> 301 298 Ft-</w:t>
      </w:r>
      <w:proofErr w:type="spellStart"/>
      <w:r w:rsidRPr="00AD1762">
        <w:t>os</w:t>
      </w:r>
      <w:proofErr w:type="spellEnd"/>
      <w:r w:rsidRPr="00AD1762">
        <w:t xml:space="preserve"> </w:t>
      </w:r>
      <w:proofErr w:type="spellStart"/>
      <w:r w:rsidRPr="00AD1762">
        <w:t>egyenleggel</w:t>
      </w:r>
      <w:proofErr w:type="spellEnd"/>
      <w:r w:rsidRPr="00AD1762">
        <w:t xml:space="preserve"> </w:t>
      </w:r>
      <w:proofErr w:type="spellStart"/>
      <w:r w:rsidRPr="00AD1762">
        <w:t>kezdte</w:t>
      </w:r>
      <w:proofErr w:type="spellEnd"/>
      <w:r w:rsidRPr="00AD1762">
        <w:t xml:space="preserve"> </w:t>
      </w:r>
      <w:proofErr w:type="gramStart"/>
      <w:r w:rsidRPr="00AD1762">
        <w:t>meg</w:t>
      </w:r>
      <w:proofErr w:type="gramEnd"/>
      <w:r w:rsidR="00AD1762">
        <w:t xml:space="preserve"> </w:t>
      </w:r>
      <w:proofErr w:type="spellStart"/>
      <w:r w:rsidRPr="00AD1762">
        <w:t>az</w:t>
      </w:r>
      <w:proofErr w:type="spellEnd"/>
      <w:r w:rsidRPr="00AD1762">
        <w:t xml:space="preserve"> </w:t>
      </w:r>
      <w:proofErr w:type="spellStart"/>
      <w:r w:rsidRPr="00AD1762">
        <w:t>évet</w:t>
      </w:r>
      <w:proofErr w:type="spellEnd"/>
      <w:r w:rsidRPr="00AD1762">
        <w:t xml:space="preserve">. A </w:t>
      </w:r>
      <w:proofErr w:type="spellStart"/>
      <w:r w:rsidRPr="00AD1762">
        <w:t>terembérlet</w:t>
      </w:r>
      <w:proofErr w:type="spellEnd"/>
      <w:r w:rsidRPr="00AD1762">
        <w:t xml:space="preserve"> </w:t>
      </w:r>
      <w:proofErr w:type="spellStart"/>
      <w:r w:rsidRPr="00AD1762">
        <w:t>költsége</w:t>
      </w:r>
      <w:proofErr w:type="spellEnd"/>
      <w:r w:rsidRPr="00AD1762">
        <w:t xml:space="preserve"> </w:t>
      </w:r>
      <w:proofErr w:type="spellStart"/>
      <w:r w:rsidRPr="00AD1762">
        <w:t>szerz</w:t>
      </w:r>
      <w:r w:rsidR="00AD1762">
        <w:t>ő</w:t>
      </w:r>
      <w:r w:rsidRPr="00AD1762">
        <w:t>désben</w:t>
      </w:r>
      <w:proofErr w:type="spellEnd"/>
      <w:r w:rsidRPr="00AD1762">
        <w:t xml:space="preserve"> </w:t>
      </w:r>
      <w:proofErr w:type="spellStart"/>
      <w:r w:rsidRPr="00AD1762">
        <w:t>rögzített</w:t>
      </w:r>
      <w:proofErr w:type="spellEnd"/>
      <w:r w:rsidRPr="00AD1762">
        <w:t xml:space="preserve"> volt (17 000 Ft/alkalom; összesen 697 000 Ft), </w:t>
      </w:r>
      <w:proofErr w:type="spellStart"/>
      <w:r w:rsidRPr="00AD1762">
        <w:t>így</w:t>
      </w:r>
      <w:proofErr w:type="spellEnd"/>
      <w:r w:rsidR="00AD1762">
        <w:t xml:space="preserve"> </w:t>
      </w:r>
      <w:proofErr w:type="spellStart"/>
      <w:r w:rsidRPr="00AD1762">
        <w:t>azzal</w:t>
      </w:r>
      <w:proofErr w:type="spellEnd"/>
      <w:r w:rsidRPr="00AD1762">
        <w:t xml:space="preserve"> </w:t>
      </w:r>
      <w:proofErr w:type="spellStart"/>
      <w:r w:rsidRPr="00AD1762">
        <w:t>pontosan</w:t>
      </w:r>
      <w:proofErr w:type="spellEnd"/>
      <w:r w:rsidRPr="00AD1762">
        <w:t xml:space="preserve"> </w:t>
      </w:r>
      <w:proofErr w:type="spellStart"/>
      <w:r w:rsidR="0008334F">
        <w:t>lehetett</w:t>
      </w:r>
      <w:proofErr w:type="spellEnd"/>
      <w:r w:rsidRPr="00AD1762">
        <w:t xml:space="preserve"> </w:t>
      </w:r>
      <w:proofErr w:type="spellStart"/>
      <w:r w:rsidRPr="00AD1762">
        <w:t>számolni</w:t>
      </w:r>
      <w:proofErr w:type="spellEnd"/>
      <w:r w:rsidRPr="00AD1762">
        <w:t xml:space="preserve">. A </w:t>
      </w:r>
      <w:proofErr w:type="spellStart"/>
      <w:r w:rsidRPr="00AD1762">
        <w:t>m</w:t>
      </w:r>
      <w:r w:rsidR="00AD1762">
        <w:t>ű</w:t>
      </w:r>
      <w:r w:rsidRPr="00AD1762">
        <w:t>füves</w:t>
      </w:r>
      <w:proofErr w:type="spellEnd"/>
      <w:r w:rsidRPr="00AD1762">
        <w:t xml:space="preserve"> </w:t>
      </w:r>
      <w:proofErr w:type="spellStart"/>
      <w:r w:rsidRPr="00AD1762">
        <w:t>pálya</w:t>
      </w:r>
      <w:proofErr w:type="spellEnd"/>
      <w:r w:rsidRPr="00AD1762">
        <w:t xml:space="preserve"> </w:t>
      </w:r>
      <w:proofErr w:type="spellStart"/>
      <w:r w:rsidRPr="00AD1762">
        <w:t>bérleti</w:t>
      </w:r>
      <w:proofErr w:type="spellEnd"/>
      <w:r w:rsidRPr="00AD1762">
        <w:t xml:space="preserve"> </w:t>
      </w:r>
      <w:proofErr w:type="spellStart"/>
      <w:r w:rsidRPr="00AD1762">
        <w:t>díja</w:t>
      </w:r>
      <w:proofErr w:type="spellEnd"/>
      <w:r w:rsidRPr="00AD1762">
        <w:t xml:space="preserve"> </w:t>
      </w:r>
      <w:proofErr w:type="spellStart"/>
      <w:r w:rsidRPr="00AD1762">
        <w:t>kis</w:t>
      </w:r>
      <w:proofErr w:type="spellEnd"/>
      <w:r w:rsidRPr="00AD1762">
        <w:t xml:space="preserve"> </w:t>
      </w:r>
      <w:proofErr w:type="spellStart"/>
      <w:r w:rsidRPr="00AD1762">
        <w:t>mértékben</w:t>
      </w:r>
      <w:proofErr w:type="spellEnd"/>
      <w:r w:rsidRPr="00AD1762">
        <w:t xml:space="preserve"> </w:t>
      </w:r>
      <w:proofErr w:type="spellStart"/>
      <w:r w:rsidRPr="00AD1762">
        <w:t>emelkedett</w:t>
      </w:r>
      <w:proofErr w:type="spellEnd"/>
      <w:r w:rsidRPr="00AD1762">
        <w:t xml:space="preserve"> a </w:t>
      </w:r>
      <w:proofErr w:type="spellStart"/>
      <w:r w:rsidRPr="00AD1762">
        <w:t>tervezetthez</w:t>
      </w:r>
      <w:proofErr w:type="spellEnd"/>
      <w:r w:rsidR="00AD1762">
        <w:t xml:space="preserve"> </w:t>
      </w:r>
      <w:proofErr w:type="spellStart"/>
      <w:r w:rsidRPr="00AD1762">
        <w:t>képest</w:t>
      </w:r>
      <w:proofErr w:type="spellEnd"/>
      <w:r w:rsidRPr="00AD1762">
        <w:t xml:space="preserve"> (15 000-17 500 Ft/</w:t>
      </w:r>
      <w:proofErr w:type="spellStart"/>
      <w:r w:rsidRPr="00AD1762">
        <w:t>alkalom</w:t>
      </w:r>
      <w:proofErr w:type="spellEnd"/>
      <w:r w:rsidRPr="00AD1762">
        <w:t xml:space="preserve"> </w:t>
      </w:r>
      <w:proofErr w:type="spellStart"/>
      <w:r w:rsidRPr="00AD1762">
        <w:t>pályától</w:t>
      </w:r>
      <w:proofErr w:type="spellEnd"/>
      <w:r w:rsidRPr="00AD1762">
        <w:t xml:space="preserve"> </w:t>
      </w:r>
      <w:proofErr w:type="spellStart"/>
      <w:r w:rsidRPr="00AD1762">
        <w:t>és</w:t>
      </w:r>
      <w:proofErr w:type="spellEnd"/>
      <w:r w:rsidRPr="00AD1762">
        <w:t xml:space="preserve"> </w:t>
      </w:r>
      <w:proofErr w:type="spellStart"/>
      <w:r w:rsidRPr="00AD1762">
        <w:t>világítástól</w:t>
      </w:r>
      <w:proofErr w:type="spellEnd"/>
      <w:r w:rsidRPr="00AD1762">
        <w:t xml:space="preserve"> </w:t>
      </w:r>
      <w:proofErr w:type="spellStart"/>
      <w:r w:rsidRPr="00AD1762">
        <w:t>függ</w:t>
      </w:r>
      <w:r w:rsidR="00AD1762">
        <w:t>ő</w:t>
      </w:r>
      <w:r w:rsidRPr="00AD1762">
        <w:t>en</w:t>
      </w:r>
      <w:proofErr w:type="spellEnd"/>
      <w:r w:rsidRPr="00AD1762">
        <w:t xml:space="preserve">; </w:t>
      </w:r>
      <w:proofErr w:type="spellStart"/>
      <w:r w:rsidRPr="00AD1762">
        <w:t>összesen</w:t>
      </w:r>
      <w:proofErr w:type="spellEnd"/>
      <w:r w:rsidRPr="00AD1762">
        <w:t xml:space="preserve"> 161 500 Ft), de cserébe</w:t>
      </w:r>
    </w:p>
    <w:p w:rsidR="00191588" w:rsidRPr="00AD1762" w:rsidRDefault="00191588" w:rsidP="00AD1762">
      <w:pPr>
        <w:jc w:val="both"/>
      </w:pPr>
      <w:proofErr w:type="spellStart"/>
      <w:proofErr w:type="gramStart"/>
      <w:r w:rsidRPr="00AD1762">
        <w:t>felújított</w:t>
      </w:r>
      <w:proofErr w:type="spellEnd"/>
      <w:proofErr w:type="gramEnd"/>
      <w:r w:rsidRPr="00AD1762">
        <w:t xml:space="preserve"> </w:t>
      </w:r>
      <w:proofErr w:type="spellStart"/>
      <w:r w:rsidRPr="00AD1762">
        <w:t>pályán</w:t>
      </w:r>
      <w:proofErr w:type="spellEnd"/>
      <w:r w:rsidRPr="00AD1762">
        <w:t xml:space="preserve"> </w:t>
      </w:r>
      <w:proofErr w:type="spellStart"/>
      <w:r w:rsidRPr="00AD1762">
        <w:t>játszhatt</w:t>
      </w:r>
      <w:r w:rsidR="00AD1762">
        <w:t>a</w:t>
      </w:r>
      <w:r w:rsidRPr="00AD1762">
        <w:t>k</w:t>
      </w:r>
      <w:proofErr w:type="spellEnd"/>
      <w:r w:rsidRPr="00AD1762">
        <w:t xml:space="preserve">. A Kupa kiadását/bevételét sikerült jól megtippelni. A </w:t>
      </w:r>
      <w:proofErr w:type="spellStart"/>
      <w:r w:rsidRPr="00AD1762">
        <w:t>befolyt</w:t>
      </w:r>
      <w:proofErr w:type="spellEnd"/>
      <w:r w:rsidRPr="00AD1762">
        <w:t xml:space="preserve"> </w:t>
      </w:r>
      <w:proofErr w:type="spellStart"/>
      <w:r w:rsidRPr="00AD1762">
        <w:t>nevezési</w:t>
      </w:r>
      <w:proofErr w:type="spellEnd"/>
      <w:r w:rsidR="00AD1762">
        <w:t xml:space="preserve"> </w:t>
      </w:r>
      <w:proofErr w:type="spellStart"/>
      <w:r w:rsidRPr="00AD1762">
        <w:t>díjból</w:t>
      </w:r>
      <w:proofErr w:type="spellEnd"/>
      <w:r w:rsidRPr="00AD1762">
        <w:t xml:space="preserve"> (500 Ft/</w:t>
      </w:r>
      <w:proofErr w:type="spellStart"/>
      <w:r w:rsidRPr="00AD1762">
        <w:t>f</w:t>
      </w:r>
      <w:r w:rsidR="00AD1762">
        <w:t>ő</w:t>
      </w:r>
      <w:proofErr w:type="spellEnd"/>
      <w:r w:rsidRPr="00AD1762">
        <w:t xml:space="preserve">; </w:t>
      </w:r>
      <w:proofErr w:type="spellStart"/>
      <w:r w:rsidRPr="00AD1762">
        <w:t>összesen</w:t>
      </w:r>
      <w:proofErr w:type="spellEnd"/>
      <w:r w:rsidRPr="00AD1762">
        <w:t xml:space="preserve"> 15 000 Ft) </w:t>
      </w:r>
      <w:proofErr w:type="spellStart"/>
      <w:r w:rsidRPr="00AD1762">
        <w:t>fedezni</w:t>
      </w:r>
      <w:proofErr w:type="spellEnd"/>
      <w:r w:rsidRPr="00AD1762">
        <w:t xml:space="preserve"> </w:t>
      </w:r>
      <w:proofErr w:type="spellStart"/>
      <w:r w:rsidRPr="00AD1762">
        <w:t>tudt</w:t>
      </w:r>
      <w:r w:rsidR="00AD1762">
        <w:t>á</w:t>
      </w:r>
      <w:r w:rsidRPr="00AD1762">
        <w:t>k</w:t>
      </w:r>
      <w:proofErr w:type="spellEnd"/>
      <w:r w:rsidRPr="00AD1762">
        <w:t xml:space="preserve"> a </w:t>
      </w:r>
      <w:proofErr w:type="spellStart"/>
      <w:r w:rsidRPr="00AD1762">
        <w:t>díjazást</w:t>
      </w:r>
      <w:proofErr w:type="spellEnd"/>
      <w:r w:rsidRPr="00AD1762">
        <w:t xml:space="preserve"> (</w:t>
      </w:r>
      <w:proofErr w:type="spellStart"/>
      <w:r w:rsidRPr="00AD1762">
        <w:t>érmek</w:t>
      </w:r>
      <w:proofErr w:type="spellEnd"/>
      <w:r w:rsidRPr="00AD1762">
        <w:t xml:space="preserve">, </w:t>
      </w:r>
      <w:proofErr w:type="spellStart"/>
      <w:r w:rsidRPr="00AD1762">
        <w:t>kupa</w:t>
      </w:r>
      <w:proofErr w:type="spellEnd"/>
      <w:r w:rsidRPr="00AD1762">
        <w:t xml:space="preserve">, </w:t>
      </w:r>
      <w:proofErr w:type="spellStart"/>
      <w:r w:rsidRPr="00AD1762">
        <w:t>plakett</w:t>
      </w:r>
      <w:proofErr w:type="spellEnd"/>
      <w:r w:rsidRPr="00AD1762">
        <w:t xml:space="preserve">; </w:t>
      </w:r>
      <w:proofErr w:type="spellStart"/>
      <w:r w:rsidRPr="00AD1762">
        <w:t>összesen</w:t>
      </w:r>
      <w:proofErr w:type="spellEnd"/>
      <w:r w:rsidRPr="00AD1762">
        <w:t xml:space="preserve"> 11 425 Ft)</w:t>
      </w:r>
      <w:r w:rsidR="00AD1762">
        <w:t xml:space="preserve">, </w:t>
      </w:r>
      <w:proofErr w:type="spellStart"/>
      <w:r w:rsidRPr="00AD1762">
        <w:t>illetve</w:t>
      </w:r>
      <w:proofErr w:type="spellEnd"/>
      <w:r w:rsidRPr="00AD1762">
        <w:t xml:space="preserve"> a </w:t>
      </w:r>
      <w:proofErr w:type="spellStart"/>
      <w:r w:rsidRPr="00AD1762">
        <w:t>terembérlet</w:t>
      </w:r>
      <w:proofErr w:type="spellEnd"/>
      <w:r w:rsidRPr="00AD1762">
        <w:t xml:space="preserve"> (47 500 Ft) egy részét is. </w:t>
      </w:r>
      <w:proofErr w:type="spellStart"/>
      <w:r w:rsidRPr="00AD1762">
        <w:t>Egyéb</w:t>
      </w:r>
      <w:proofErr w:type="spellEnd"/>
      <w:r w:rsidRPr="00AD1762">
        <w:t xml:space="preserve"> </w:t>
      </w:r>
      <w:proofErr w:type="spellStart"/>
      <w:r w:rsidRPr="00AD1762">
        <w:t>kiadásokra</w:t>
      </w:r>
      <w:proofErr w:type="spellEnd"/>
      <w:r w:rsidRPr="00AD1762">
        <w:t xml:space="preserve"> (</w:t>
      </w:r>
      <w:proofErr w:type="spellStart"/>
      <w:r w:rsidRPr="00AD1762">
        <w:t>labda</w:t>
      </w:r>
      <w:proofErr w:type="spellEnd"/>
      <w:r w:rsidRPr="00AD1762">
        <w:t xml:space="preserve">) 9990 Ft-t </w:t>
      </w:r>
      <w:proofErr w:type="spellStart"/>
      <w:r w:rsidRPr="00AD1762">
        <w:t>költött</w:t>
      </w:r>
      <w:r w:rsidR="00AD1762">
        <w:t>e</w:t>
      </w:r>
      <w:r w:rsidRPr="00AD1762">
        <w:t>k</w:t>
      </w:r>
      <w:proofErr w:type="spellEnd"/>
      <w:r w:rsidRPr="00AD1762">
        <w:t xml:space="preserve">. A </w:t>
      </w:r>
      <w:proofErr w:type="spellStart"/>
      <w:r w:rsidRPr="00AD1762">
        <w:t>tagdíj</w:t>
      </w:r>
      <w:proofErr w:type="spellEnd"/>
      <w:r w:rsidR="00AD1762">
        <w:t xml:space="preserve"> </w:t>
      </w:r>
      <w:proofErr w:type="spellStart"/>
      <w:r w:rsidR="00AD1762">
        <w:t>bevételü</w:t>
      </w:r>
      <w:r w:rsidRPr="00AD1762">
        <w:t>k</w:t>
      </w:r>
      <w:proofErr w:type="spellEnd"/>
      <w:r w:rsidRPr="00AD1762">
        <w:t xml:space="preserve"> (a </w:t>
      </w:r>
      <w:proofErr w:type="spellStart"/>
      <w:r w:rsidRPr="00AD1762">
        <w:t>kupa</w:t>
      </w:r>
      <w:proofErr w:type="spellEnd"/>
      <w:r w:rsidRPr="00AD1762">
        <w:t xml:space="preserve"> </w:t>
      </w:r>
      <w:proofErr w:type="spellStart"/>
      <w:r w:rsidRPr="00AD1762">
        <w:t>nevezést</w:t>
      </w:r>
      <w:proofErr w:type="spellEnd"/>
      <w:r w:rsidRPr="00AD1762">
        <w:t xml:space="preserve"> </w:t>
      </w:r>
      <w:proofErr w:type="spellStart"/>
      <w:r w:rsidRPr="00AD1762">
        <w:t>nem</w:t>
      </w:r>
      <w:proofErr w:type="spellEnd"/>
      <w:r w:rsidRPr="00AD1762">
        <w:t xml:space="preserve"> </w:t>
      </w:r>
      <w:proofErr w:type="spellStart"/>
      <w:r w:rsidRPr="00AD1762">
        <w:t>beleszámítva</w:t>
      </w:r>
      <w:proofErr w:type="spellEnd"/>
      <w:r w:rsidRPr="00AD1762">
        <w:t xml:space="preserve">) </w:t>
      </w:r>
      <w:proofErr w:type="spellStart"/>
      <w:r w:rsidRPr="00AD1762">
        <w:t>összesen</w:t>
      </w:r>
      <w:proofErr w:type="spellEnd"/>
      <w:r w:rsidRPr="00AD1762">
        <w:t xml:space="preserve"> 480 200 Ft volt</w:t>
      </w:r>
      <w:r w:rsidR="00AD1762">
        <w:t xml:space="preserve">. </w:t>
      </w:r>
      <w:r w:rsidRPr="00AD1762">
        <w:t xml:space="preserve">A </w:t>
      </w:r>
      <w:proofErr w:type="spellStart"/>
      <w:r w:rsidRPr="00AD1762">
        <w:t>szakosztály</w:t>
      </w:r>
      <w:proofErr w:type="spellEnd"/>
      <w:r w:rsidRPr="00AD1762">
        <w:t xml:space="preserve"> </w:t>
      </w:r>
      <w:proofErr w:type="spellStart"/>
      <w:r w:rsidRPr="00AD1762">
        <w:t>tehát</w:t>
      </w:r>
      <w:proofErr w:type="spellEnd"/>
      <w:r w:rsidRPr="00AD1762">
        <w:t xml:space="preserve"> </w:t>
      </w:r>
      <w:proofErr w:type="spellStart"/>
      <w:r w:rsidRPr="00AD1762">
        <w:t>tartani</w:t>
      </w:r>
      <w:proofErr w:type="spellEnd"/>
      <w:r w:rsidRPr="00AD1762">
        <w:t xml:space="preserve"> </w:t>
      </w:r>
      <w:proofErr w:type="spellStart"/>
      <w:r w:rsidRPr="00AD1762">
        <w:t>tudta</w:t>
      </w:r>
      <w:proofErr w:type="spellEnd"/>
      <w:r w:rsidRPr="00AD1762">
        <w:t xml:space="preserve"> a </w:t>
      </w:r>
      <w:proofErr w:type="spellStart"/>
      <w:r w:rsidRPr="00AD1762">
        <w:t>tervezett</w:t>
      </w:r>
      <w:proofErr w:type="spellEnd"/>
      <w:r w:rsidRPr="00AD1762">
        <w:t xml:space="preserve"> </w:t>
      </w:r>
      <w:proofErr w:type="spellStart"/>
      <w:r w:rsidRPr="00AD1762">
        <w:t>költségvetést</w:t>
      </w:r>
      <w:proofErr w:type="spellEnd"/>
      <w:r w:rsidRPr="00AD1762">
        <w:t xml:space="preserve">, </w:t>
      </w:r>
      <w:proofErr w:type="spellStart"/>
      <w:r w:rsidRPr="00AD1762">
        <w:t>ezzel</w:t>
      </w:r>
      <w:proofErr w:type="spellEnd"/>
      <w:r w:rsidRPr="00AD1762">
        <w:t xml:space="preserve"> </w:t>
      </w:r>
      <w:proofErr w:type="spellStart"/>
      <w:r w:rsidRPr="00AD1762">
        <w:t>továbbra</w:t>
      </w:r>
      <w:proofErr w:type="spellEnd"/>
      <w:r w:rsidRPr="00AD1762">
        <w:t xml:space="preserve"> is </w:t>
      </w:r>
      <w:proofErr w:type="spellStart"/>
      <w:r w:rsidRPr="00AD1762">
        <w:t>képes</w:t>
      </w:r>
      <w:proofErr w:type="spellEnd"/>
      <w:r w:rsidRPr="00AD1762">
        <w:t xml:space="preserve"> volt 1-1 </w:t>
      </w:r>
      <w:proofErr w:type="spellStart"/>
      <w:r w:rsidRPr="00AD1762">
        <w:t>arányban</w:t>
      </w:r>
      <w:proofErr w:type="spellEnd"/>
      <w:r w:rsidR="00AD1762">
        <w:t xml:space="preserve"> </w:t>
      </w:r>
      <w:proofErr w:type="spellStart"/>
      <w:r w:rsidRPr="00AD1762">
        <w:t>fizetni</w:t>
      </w:r>
      <w:proofErr w:type="spellEnd"/>
      <w:r w:rsidRPr="00AD1762">
        <w:t xml:space="preserve"> a </w:t>
      </w:r>
      <w:proofErr w:type="spellStart"/>
      <w:r w:rsidRPr="00AD1762">
        <w:t>kiadásait</w:t>
      </w:r>
      <w:proofErr w:type="spellEnd"/>
      <w:r w:rsidRPr="00AD1762">
        <w:t>.</w:t>
      </w:r>
    </w:p>
    <w:p w:rsidR="00AD1762" w:rsidRDefault="00AD1762" w:rsidP="00AD1762">
      <w:pPr>
        <w:jc w:val="both"/>
      </w:pPr>
    </w:p>
    <w:p w:rsidR="00AD1762" w:rsidRPr="00AD1762" w:rsidRDefault="00191588" w:rsidP="00AD1762">
      <w:pPr>
        <w:jc w:val="both"/>
      </w:pPr>
      <w:r w:rsidRPr="00AD1762">
        <w:t xml:space="preserve">A 2017-es </w:t>
      </w:r>
      <w:proofErr w:type="spellStart"/>
      <w:r w:rsidRPr="00AD1762">
        <w:t>évben</w:t>
      </w:r>
      <w:proofErr w:type="spellEnd"/>
      <w:r w:rsidRPr="00AD1762">
        <w:t xml:space="preserve"> is a </w:t>
      </w:r>
      <w:proofErr w:type="spellStart"/>
      <w:r w:rsidRPr="00AD1762">
        <w:t>szokásos</w:t>
      </w:r>
      <w:proofErr w:type="spellEnd"/>
      <w:r w:rsidRPr="00AD1762">
        <w:t xml:space="preserve"> </w:t>
      </w:r>
      <w:proofErr w:type="spellStart"/>
      <w:r w:rsidRPr="00AD1762">
        <w:t>id</w:t>
      </w:r>
      <w:r w:rsidR="00AD1762">
        <w:t>ő</w:t>
      </w:r>
      <w:r w:rsidRPr="00AD1762">
        <w:t>pontban</w:t>
      </w:r>
      <w:proofErr w:type="spellEnd"/>
      <w:r w:rsidR="00AD1762">
        <w:t xml:space="preserve"> </w:t>
      </w:r>
      <w:proofErr w:type="spellStart"/>
      <w:r w:rsidRPr="00AD1762">
        <w:t>és</w:t>
      </w:r>
      <w:proofErr w:type="spellEnd"/>
      <w:r w:rsidRPr="00AD1762">
        <w:t xml:space="preserve"> </w:t>
      </w:r>
      <w:proofErr w:type="spellStart"/>
      <w:r w:rsidRPr="00AD1762">
        <w:t>változatlan</w:t>
      </w:r>
      <w:proofErr w:type="spellEnd"/>
      <w:r w:rsidRPr="00AD1762">
        <w:t xml:space="preserve"> </w:t>
      </w:r>
      <w:proofErr w:type="spellStart"/>
      <w:r w:rsidRPr="00AD1762">
        <w:t>helyszíneken</w:t>
      </w:r>
      <w:proofErr w:type="spellEnd"/>
      <w:r w:rsidRPr="00AD1762">
        <w:t xml:space="preserve"> </w:t>
      </w:r>
      <w:proofErr w:type="spellStart"/>
      <w:r w:rsidRPr="00AD1762">
        <w:t>tervez</w:t>
      </w:r>
      <w:r w:rsidR="00AD1762">
        <w:t>i</w:t>
      </w:r>
      <w:r w:rsidRPr="00AD1762">
        <w:t>k</w:t>
      </w:r>
      <w:proofErr w:type="spellEnd"/>
      <w:r w:rsidRPr="00AD1762">
        <w:t xml:space="preserve"> </w:t>
      </w:r>
      <w:proofErr w:type="spellStart"/>
      <w:r w:rsidRPr="00AD1762">
        <w:t>tartani</w:t>
      </w:r>
      <w:proofErr w:type="spellEnd"/>
      <w:r w:rsidRPr="00AD1762">
        <w:t xml:space="preserve"> </w:t>
      </w: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alkalmakat</w:t>
      </w:r>
      <w:proofErr w:type="spellEnd"/>
      <w:r w:rsidRPr="00AD1762">
        <w:t xml:space="preserve">. </w:t>
      </w:r>
    </w:p>
    <w:p w:rsidR="00191588" w:rsidRPr="00AD1762" w:rsidRDefault="00191588" w:rsidP="00AD1762">
      <w:pPr>
        <w:jc w:val="both"/>
      </w:pPr>
      <w:proofErr w:type="spellStart"/>
      <w:r w:rsidRPr="00AD1762">
        <w:t>Városmajor</w:t>
      </w:r>
      <w:proofErr w:type="spellEnd"/>
      <w:r w:rsidRPr="00AD1762">
        <w:t xml:space="preserve"> </w:t>
      </w:r>
      <w:proofErr w:type="spellStart"/>
      <w:r w:rsidRPr="00AD1762">
        <w:t>utcai</w:t>
      </w:r>
      <w:proofErr w:type="spellEnd"/>
      <w:r w:rsidRPr="00AD1762">
        <w:t xml:space="preserve"> </w:t>
      </w:r>
      <w:proofErr w:type="spellStart"/>
      <w:r w:rsidRPr="00AD1762">
        <w:t>terem</w:t>
      </w:r>
      <w:proofErr w:type="spellEnd"/>
      <w:r w:rsidRPr="00AD1762">
        <w:t xml:space="preserve"> </w:t>
      </w:r>
      <w:proofErr w:type="spellStart"/>
      <w:r w:rsidRPr="00AD1762">
        <w:t>bérleti</w:t>
      </w:r>
      <w:proofErr w:type="spellEnd"/>
      <w:r w:rsidRPr="00AD1762">
        <w:t xml:space="preserve"> </w:t>
      </w:r>
      <w:proofErr w:type="spellStart"/>
      <w:r w:rsidRPr="00AD1762">
        <w:t>díja</w:t>
      </w:r>
      <w:proofErr w:type="spellEnd"/>
      <w:r w:rsidRPr="00AD1762">
        <w:t xml:space="preserve"> </w:t>
      </w:r>
      <w:proofErr w:type="spellStart"/>
      <w:r w:rsidRPr="00AD1762">
        <w:t>nem</w:t>
      </w:r>
      <w:proofErr w:type="spellEnd"/>
      <w:r w:rsidRPr="00AD1762">
        <w:t xml:space="preserve"> </w:t>
      </w:r>
      <w:proofErr w:type="spellStart"/>
      <w:r w:rsidRPr="00AD1762">
        <w:t>változik</w:t>
      </w:r>
      <w:proofErr w:type="spellEnd"/>
      <w:r w:rsidRPr="00AD1762">
        <w:t xml:space="preserve"> </w:t>
      </w: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el</w:t>
      </w:r>
      <w:r w:rsidR="00AD1762">
        <w:t>ő</w:t>
      </w:r>
      <w:r w:rsidRPr="00AD1762">
        <w:t>z</w:t>
      </w:r>
      <w:r w:rsidR="00AD1762">
        <w:t>ő</w:t>
      </w:r>
      <w:proofErr w:type="spellEnd"/>
      <w:r w:rsidRPr="00AD1762">
        <w:t xml:space="preserve"> </w:t>
      </w:r>
      <w:proofErr w:type="spellStart"/>
      <w:r w:rsidRPr="00AD1762">
        <w:t>évhez</w:t>
      </w:r>
      <w:proofErr w:type="spellEnd"/>
      <w:r w:rsidRPr="00AD1762">
        <w:t xml:space="preserve"> </w:t>
      </w:r>
      <w:proofErr w:type="spellStart"/>
      <w:r w:rsidRPr="00AD1762">
        <w:t>képest</w:t>
      </w:r>
      <w:proofErr w:type="spellEnd"/>
      <w:r w:rsidRPr="00AD1762">
        <w:t xml:space="preserve"> (17 000 Ft/</w:t>
      </w:r>
      <w:proofErr w:type="spellStart"/>
      <w:r w:rsidRPr="00AD1762">
        <w:t>alkalom</w:t>
      </w:r>
      <w:proofErr w:type="spellEnd"/>
      <w:r w:rsidRPr="00AD1762">
        <w:t>;</w:t>
      </w:r>
      <w:r w:rsidR="0008334F">
        <w:t xml:space="preserve"> </w:t>
      </w:r>
      <w:proofErr w:type="spellStart"/>
      <w:r w:rsidRPr="00AD1762">
        <w:t>összesen</w:t>
      </w:r>
      <w:proofErr w:type="spellEnd"/>
      <w:r w:rsidRPr="00AD1762">
        <w:t xml:space="preserve"> 39 </w:t>
      </w:r>
      <w:proofErr w:type="spellStart"/>
      <w:r w:rsidRPr="00AD1762">
        <w:t>alkalom</w:t>
      </w:r>
      <w:proofErr w:type="spellEnd"/>
      <w:r w:rsidRPr="00AD1762">
        <w:t xml:space="preserve">), de </w:t>
      </w:r>
      <w:proofErr w:type="spellStart"/>
      <w:r w:rsidRPr="00AD1762">
        <w:t>az</w:t>
      </w:r>
      <w:proofErr w:type="spellEnd"/>
      <w:r w:rsidRPr="00AD1762">
        <w:t xml:space="preserve"> </w:t>
      </w:r>
      <w:proofErr w:type="spellStart"/>
      <w:r w:rsidRPr="00AD1762">
        <w:t>Andor</w:t>
      </w:r>
      <w:proofErr w:type="spellEnd"/>
      <w:r w:rsidRPr="00AD1762">
        <w:t xml:space="preserve"> </w:t>
      </w:r>
      <w:proofErr w:type="spellStart"/>
      <w:r w:rsidRPr="00AD1762">
        <w:t>utcai</w:t>
      </w:r>
      <w:proofErr w:type="spellEnd"/>
      <w:r w:rsidRPr="00AD1762">
        <w:t xml:space="preserve"> </w:t>
      </w:r>
      <w:proofErr w:type="spellStart"/>
      <w:r w:rsidRPr="00AD1762">
        <w:t>m</w:t>
      </w:r>
      <w:r w:rsidR="00AD1762">
        <w:t>ű</w:t>
      </w:r>
      <w:r w:rsidRPr="00AD1762">
        <w:t>füves</w:t>
      </w:r>
      <w:proofErr w:type="spellEnd"/>
      <w:r w:rsidRPr="00AD1762">
        <w:t xml:space="preserve"> </w:t>
      </w:r>
      <w:proofErr w:type="spellStart"/>
      <w:r w:rsidRPr="00AD1762">
        <w:t>pálya</w:t>
      </w:r>
      <w:proofErr w:type="spellEnd"/>
      <w:r w:rsidRPr="00AD1762">
        <w:t xml:space="preserve"> </w:t>
      </w:r>
      <w:proofErr w:type="spellStart"/>
      <w:r w:rsidRPr="00AD1762">
        <w:t>bérleti</w:t>
      </w:r>
      <w:proofErr w:type="spellEnd"/>
      <w:r w:rsidRPr="00AD1762">
        <w:t xml:space="preserve"> </w:t>
      </w:r>
      <w:proofErr w:type="spellStart"/>
      <w:r w:rsidRPr="00AD1762">
        <w:t>díját</w:t>
      </w:r>
      <w:proofErr w:type="spellEnd"/>
      <w:r w:rsidRPr="00AD1762">
        <w:t xml:space="preserve"> </w:t>
      </w:r>
      <w:proofErr w:type="spellStart"/>
      <w:r w:rsidRPr="00AD1762">
        <w:t>ismét</w:t>
      </w:r>
      <w:proofErr w:type="spellEnd"/>
      <w:r w:rsidRPr="00AD1762">
        <w:t xml:space="preserve"> </w:t>
      </w:r>
      <w:proofErr w:type="spellStart"/>
      <w:r w:rsidRPr="00AD1762">
        <w:t>csak</w:t>
      </w:r>
      <w:proofErr w:type="spellEnd"/>
      <w:r w:rsidRPr="00AD1762">
        <w:t xml:space="preserve"> </w:t>
      </w:r>
      <w:proofErr w:type="spellStart"/>
      <w:r w:rsidRPr="00AD1762">
        <w:t>megtippelni</w:t>
      </w:r>
      <w:proofErr w:type="spellEnd"/>
      <w:r w:rsidRPr="00AD1762">
        <w:t xml:space="preserve"> </w:t>
      </w:r>
      <w:proofErr w:type="spellStart"/>
      <w:r w:rsidR="0008334F">
        <w:t>lehet</w:t>
      </w:r>
      <w:proofErr w:type="spellEnd"/>
      <w:r w:rsidRPr="00AD1762">
        <w:t xml:space="preserve"> (</w:t>
      </w:r>
      <w:proofErr w:type="spellStart"/>
      <w:r w:rsidRPr="00AD1762">
        <w:t>valószín</w:t>
      </w:r>
      <w:r w:rsidR="00AD1762">
        <w:t>ű</w:t>
      </w:r>
      <w:r w:rsidRPr="00AD1762">
        <w:t>leg</w:t>
      </w:r>
      <w:proofErr w:type="spellEnd"/>
      <w:r w:rsidRPr="00AD1762">
        <w:t xml:space="preserve"> maximum 18 000 Ft/</w:t>
      </w:r>
      <w:proofErr w:type="spellStart"/>
      <w:r w:rsidRPr="00AD1762">
        <w:t>alkalom</w:t>
      </w:r>
      <w:proofErr w:type="spellEnd"/>
      <w:r w:rsidRPr="00AD1762">
        <w:t xml:space="preserve">; </w:t>
      </w:r>
      <w:proofErr w:type="spellStart"/>
      <w:r w:rsidRPr="00AD1762">
        <w:t>összesen</w:t>
      </w:r>
      <w:proofErr w:type="spellEnd"/>
      <w:r w:rsidRPr="00AD1762">
        <w:t xml:space="preserve"> 10 </w:t>
      </w:r>
      <w:proofErr w:type="spellStart"/>
      <w:r w:rsidRPr="00AD1762">
        <w:t>alkalom</w:t>
      </w:r>
      <w:proofErr w:type="spellEnd"/>
      <w:r w:rsidRPr="00AD1762">
        <w:t xml:space="preserve">), </w:t>
      </w:r>
      <w:proofErr w:type="spellStart"/>
      <w:r w:rsidRPr="00AD1762">
        <w:t>így</w:t>
      </w:r>
      <w:proofErr w:type="spellEnd"/>
      <w:r w:rsidRPr="00AD1762">
        <w:t xml:space="preserve"> </w:t>
      </w:r>
      <w:proofErr w:type="spellStart"/>
      <w:r w:rsidRPr="00AD1762">
        <w:t>az</w:t>
      </w:r>
      <w:proofErr w:type="spellEnd"/>
      <w:r w:rsidRPr="00AD1762">
        <w:t xml:space="preserve"> </w:t>
      </w:r>
      <w:proofErr w:type="spellStart"/>
      <w:r w:rsidRPr="00AD1762">
        <w:t>éves</w:t>
      </w:r>
      <w:proofErr w:type="spellEnd"/>
      <w:r w:rsidRPr="00AD1762">
        <w:t xml:space="preserve"> </w:t>
      </w:r>
      <w:proofErr w:type="spellStart"/>
      <w:r w:rsidRPr="00AD1762">
        <w:t>terem</w:t>
      </w:r>
      <w:proofErr w:type="spellEnd"/>
      <w:r w:rsidRPr="00AD1762">
        <w:t>/</w:t>
      </w:r>
      <w:proofErr w:type="spellStart"/>
      <w:r w:rsidRPr="00AD1762">
        <w:t>pályabérlet</w:t>
      </w:r>
      <w:proofErr w:type="spellEnd"/>
      <w:r w:rsidRPr="00AD1762">
        <w:t xml:space="preserve"> </w:t>
      </w:r>
      <w:proofErr w:type="spellStart"/>
      <w:r w:rsidRPr="00AD1762">
        <w:t>körülbelül</w:t>
      </w:r>
      <w:proofErr w:type="spellEnd"/>
      <w:r w:rsidR="00AD1762">
        <w:t xml:space="preserve"> </w:t>
      </w:r>
      <w:r w:rsidRPr="00AD1762">
        <w:t>843 000</w:t>
      </w:r>
      <w:r w:rsidR="00AD1762">
        <w:t xml:space="preserve"> Ft </w:t>
      </w:r>
      <w:proofErr w:type="spellStart"/>
      <w:r w:rsidR="00AD1762">
        <w:t>lesz</w:t>
      </w:r>
      <w:proofErr w:type="spellEnd"/>
      <w:r w:rsidR="00AD1762">
        <w:t xml:space="preserve">. </w:t>
      </w:r>
      <w:proofErr w:type="spellStart"/>
      <w:r w:rsidR="00AD1762">
        <w:t>Mindenképpen</w:t>
      </w:r>
      <w:proofErr w:type="spellEnd"/>
      <w:r w:rsidR="00AD1762">
        <w:t xml:space="preserve"> </w:t>
      </w:r>
      <w:proofErr w:type="spellStart"/>
      <w:r w:rsidR="00AD1762">
        <w:t>szeretné</w:t>
      </w:r>
      <w:r w:rsidRPr="00AD1762">
        <w:t>k</w:t>
      </w:r>
      <w:proofErr w:type="spellEnd"/>
      <w:r w:rsidRPr="00AD1762">
        <w:t xml:space="preserve"> </w:t>
      </w:r>
      <w:proofErr w:type="spellStart"/>
      <w:r w:rsidRPr="00AD1762">
        <w:t>újra</w:t>
      </w:r>
      <w:proofErr w:type="spellEnd"/>
      <w:r w:rsidRPr="00AD1762">
        <w:t xml:space="preserve"> </w:t>
      </w:r>
      <w:proofErr w:type="spellStart"/>
      <w:r w:rsidRPr="00AD1762">
        <w:t>megrendezni</w:t>
      </w:r>
      <w:proofErr w:type="spellEnd"/>
      <w:r w:rsidRPr="00AD1762">
        <w:t xml:space="preserve"> a SZTAKI </w:t>
      </w:r>
      <w:proofErr w:type="spellStart"/>
      <w:r w:rsidRPr="00AD1762">
        <w:t>Kupát</w:t>
      </w:r>
      <w:proofErr w:type="spellEnd"/>
      <w:r w:rsidRPr="00AD1762">
        <w:t xml:space="preserve">, </w:t>
      </w:r>
      <w:proofErr w:type="spellStart"/>
      <w:r w:rsidRPr="00AD1762">
        <w:t>s</w:t>
      </w:r>
      <w:r w:rsidR="00AD1762">
        <w:t>ő</w:t>
      </w:r>
      <w:r w:rsidRPr="00AD1762">
        <w:t>t</w:t>
      </w:r>
      <w:proofErr w:type="spellEnd"/>
      <w:r w:rsidRPr="00AD1762">
        <w:t xml:space="preserve"> </w:t>
      </w: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el</w:t>
      </w:r>
      <w:r w:rsidR="00AD1762">
        <w:t>ő</w:t>
      </w:r>
      <w:r w:rsidRPr="00AD1762">
        <w:t>z</w:t>
      </w:r>
      <w:r w:rsidR="00AD1762">
        <w:t>ő</w:t>
      </w:r>
      <w:proofErr w:type="spellEnd"/>
      <w:r w:rsidRPr="00AD1762">
        <w:t xml:space="preserve"> </w:t>
      </w:r>
      <w:proofErr w:type="spellStart"/>
      <w:r w:rsidRPr="00AD1762">
        <w:t>sikerén</w:t>
      </w:r>
      <w:proofErr w:type="spellEnd"/>
      <w:r w:rsidRPr="00AD1762">
        <w:t xml:space="preserve"> </w:t>
      </w:r>
      <w:proofErr w:type="spellStart"/>
      <w:r w:rsidRPr="00AD1762">
        <w:t>felbuzdulva</w:t>
      </w:r>
      <w:proofErr w:type="spellEnd"/>
      <w:r w:rsidR="00AD1762">
        <w:t xml:space="preserve"> </w:t>
      </w:r>
      <w:proofErr w:type="spellStart"/>
      <w:r w:rsidRPr="00AD1762">
        <w:t>felvet</w:t>
      </w:r>
      <w:r w:rsidR="00AD1762">
        <w:t>ő</w:t>
      </w:r>
      <w:r w:rsidRPr="00AD1762">
        <w:t>dött</w:t>
      </w:r>
      <w:proofErr w:type="spellEnd"/>
      <w:r w:rsidRPr="00AD1762">
        <w:t xml:space="preserve"> </w:t>
      </w:r>
      <w:proofErr w:type="spellStart"/>
      <w:r w:rsidRPr="00AD1762">
        <w:t>az</w:t>
      </w:r>
      <w:proofErr w:type="spellEnd"/>
      <w:r w:rsidRPr="00AD1762">
        <w:t xml:space="preserve"> </w:t>
      </w:r>
      <w:proofErr w:type="spellStart"/>
      <w:r w:rsidRPr="00AD1762">
        <w:t>ötlet</w:t>
      </w:r>
      <w:proofErr w:type="spellEnd"/>
      <w:r w:rsidRPr="00AD1762">
        <w:t xml:space="preserve">, </w:t>
      </w:r>
      <w:proofErr w:type="spellStart"/>
      <w:r w:rsidRPr="00AD1762">
        <w:t>hogy</w:t>
      </w:r>
      <w:proofErr w:type="spellEnd"/>
      <w:r w:rsidRPr="00AD1762">
        <w:t xml:space="preserve"> </w:t>
      </w:r>
      <w:proofErr w:type="spellStart"/>
      <w:r w:rsidRPr="00AD1762">
        <w:t>akár</w:t>
      </w:r>
      <w:proofErr w:type="spellEnd"/>
      <w:r w:rsidRPr="00AD1762">
        <w:t xml:space="preserve"> </w:t>
      </w:r>
      <w:proofErr w:type="spellStart"/>
      <w:r w:rsidRPr="00AD1762">
        <w:t>tavasszal</w:t>
      </w:r>
      <w:proofErr w:type="spellEnd"/>
      <w:r w:rsidRPr="00AD1762">
        <w:t xml:space="preserve"> </w:t>
      </w:r>
      <w:proofErr w:type="spellStart"/>
      <w:r w:rsidRPr="00AD1762">
        <w:t>és</w:t>
      </w:r>
      <w:proofErr w:type="spellEnd"/>
      <w:r w:rsidRPr="00AD1762">
        <w:t xml:space="preserve"> </w:t>
      </w:r>
      <w:proofErr w:type="spellStart"/>
      <w:r w:rsidR="00AD1762">
        <w:t>ő</w:t>
      </w:r>
      <w:r w:rsidRPr="00AD1762">
        <w:t>sszel</w:t>
      </w:r>
      <w:proofErr w:type="spellEnd"/>
      <w:r w:rsidRPr="00AD1762">
        <w:t xml:space="preserve"> is </w:t>
      </w:r>
      <w:proofErr w:type="spellStart"/>
      <w:r w:rsidRPr="00AD1762">
        <w:t>lehetne</w:t>
      </w:r>
      <w:proofErr w:type="spellEnd"/>
      <w:r w:rsidRPr="00AD1762">
        <w:t xml:space="preserve"> </w:t>
      </w:r>
      <w:proofErr w:type="spellStart"/>
      <w:r w:rsidRPr="00AD1762">
        <w:t>egy-egy</w:t>
      </w:r>
      <w:proofErr w:type="spellEnd"/>
      <w:r w:rsidRPr="00AD1762">
        <w:t xml:space="preserve">. A </w:t>
      </w:r>
      <w:proofErr w:type="spellStart"/>
      <w:r w:rsidRPr="00AD1762">
        <w:t>tervezett</w:t>
      </w:r>
      <w:proofErr w:type="spellEnd"/>
      <w:r w:rsidRPr="00AD1762">
        <w:t xml:space="preserve"> </w:t>
      </w:r>
      <w:proofErr w:type="spellStart"/>
      <w:r w:rsidRPr="00AD1762">
        <w:t>tagdíj</w:t>
      </w:r>
      <w:proofErr w:type="spellEnd"/>
      <w:r w:rsidRPr="00AD1762">
        <w:t xml:space="preserve"> </w:t>
      </w:r>
      <w:proofErr w:type="spellStart"/>
      <w:r w:rsidRPr="00AD1762">
        <w:t>bevétel</w:t>
      </w:r>
      <w:proofErr w:type="spellEnd"/>
      <w:r w:rsidR="00AD1762">
        <w:t xml:space="preserve"> </w:t>
      </w:r>
      <w:r w:rsidRPr="00AD1762">
        <w:t xml:space="preserve">— </w:t>
      </w:r>
      <w:proofErr w:type="spellStart"/>
      <w:r w:rsidRPr="00AD1762">
        <w:t>és</w:t>
      </w:r>
      <w:proofErr w:type="spellEnd"/>
      <w:r w:rsidRPr="00AD1762">
        <w:t xml:space="preserve"> </w:t>
      </w:r>
      <w:proofErr w:type="spellStart"/>
      <w:r w:rsidRPr="00AD1762">
        <w:t>ezzel</w:t>
      </w:r>
      <w:proofErr w:type="spellEnd"/>
      <w:r w:rsidRPr="00AD1762">
        <w:t xml:space="preserve"> </w:t>
      </w: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igényelt</w:t>
      </w:r>
      <w:proofErr w:type="spellEnd"/>
      <w:r w:rsidRPr="00AD1762">
        <w:t xml:space="preserve"> támogatás mértéke is — 460 000 Ft. </w:t>
      </w:r>
      <w:proofErr w:type="spellStart"/>
      <w:r w:rsidRPr="00AD1762">
        <w:t>Idén</w:t>
      </w:r>
      <w:proofErr w:type="spellEnd"/>
      <w:r w:rsidRPr="00AD1762">
        <w:t xml:space="preserve"> </w:t>
      </w:r>
      <w:proofErr w:type="spellStart"/>
      <w:r w:rsidRPr="00AD1762">
        <w:t>több</w:t>
      </w:r>
      <w:proofErr w:type="spellEnd"/>
      <w:r w:rsidRPr="00AD1762">
        <w:t xml:space="preserve"> </w:t>
      </w:r>
      <w:proofErr w:type="spellStart"/>
      <w:r w:rsidRPr="00AD1762">
        <w:t>egyéb</w:t>
      </w:r>
      <w:proofErr w:type="spellEnd"/>
      <w:r w:rsidRPr="00AD1762">
        <w:t xml:space="preserve"> </w:t>
      </w:r>
      <w:proofErr w:type="spellStart"/>
      <w:r w:rsidRPr="00AD1762">
        <w:t>kiadással</w:t>
      </w:r>
      <w:proofErr w:type="spellEnd"/>
      <w:r w:rsidRPr="00AD1762">
        <w:t xml:space="preserve"> is </w:t>
      </w:r>
      <w:proofErr w:type="spellStart"/>
      <w:r w:rsidRPr="00AD1762">
        <w:t>számol</w:t>
      </w:r>
      <w:r w:rsidR="00AD1762">
        <w:t>ni</w:t>
      </w:r>
      <w:proofErr w:type="spellEnd"/>
      <w:r w:rsidR="00AD1762">
        <w:t xml:space="preserve"> </w:t>
      </w:r>
      <w:proofErr w:type="spellStart"/>
      <w:r w:rsidR="00AD1762">
        <w:t>kell</w:t>
      </w:r>
      <w:proofErr w:type="spellEnd"/>
      <w:r w:rsidRPr="00AD1762">
        <w:t xml:space="preserve"> (a</w:t>
      </w:r>
      <w:r w:rsidR="00AD1762">
        <w:t xml:space="preserve"> </w:t>
      </w:r>
      <w:proofErr w:type="spellStart"/>
      <w:r w:rsidRPr="00AD1762">
        <w:t>terem</w:t>
      </w:r>
      <w:proofErr w:type="spellEnd"/>
      <w:r w:rsidRPr="00AD1762">
        <w:t>/</w:t>
      </w:r>
      <w:proofErr w:type="spellStart"/>
      <w:r w:rsidRPr="00AD1762">
        <w:t>m</w:t>
      </w:r>
      <w:r w:rsidR="00AD1762">
        <w:t>ű</w:t>
      </w:r>
      <w:r w:rsidRPr="00AD1762">
        <w:t>füves</w:t>
      </w:r>
      <w:proofErr w:type="spellEnd"/>
      <w:r w:rsidRPr="00AD1762">
        <w:t xml:space="preserve"> </w:t>
      </w:r>
      <w:proofErr w:type="spellStart"/>
      <w:r w:rsidRPr="00AD1762">
        <w:t>labda</w:t>
      </w:r>
      <w:proofErr w:type="spellEnd"/>
      <w:r w:rsidRPr="00AD1762">
        <w:t xml:space="preserve"> </w:t>
      </w:r>
      <w:proofErr w:type="spellStart"/>
      <w:r w:rsidRPr="00AD1762">
        <w:t>fogyóeszköz</w:t>
      </w:r>
      <w:proofErr w:type="spellEnd"/>
      <w:r w:rsidRPr="00AD1762">
        <w:t xml:space="preserve">, </w:t>
      </w:r>
      <w:proofErr w:type="spellStart"/>
      <w:r w:rsidRPr="00AD1762">
        <w:t>illetve</w:t>
      </w:r>
      <w:proofErr w:type="spellEnd"/>
      <w:r w:rsidRPr="00AD1762">
        <w:t xml:space="preserve"> </w:t>
      </w:r>
      <w:proofErr w:type="spellStart"/>
      <w:r w:rsidRPr="00AD1762">
        <w:t>tervez</w:t>
      </w:r>
      <w:r w:rsidR="00AD1762">
        <w:t>i</w:t>
      </w:r>
      <w:r w:rsidRPr="00AD1762">
        <w:t>k</w:t>
      </w:r>
      <w:proofErr w:type="spellEnd"/>
      <w:r w:rsidRPr="00AD1762">
        <w:t xml:space="preserve"> </w:t>
      </w:r>
      <w:proofErr w:type="spellStart"/>
      <w:r w:rsidRPr="00AD1762">
        <w:t>egy</w:t>
      </w:r>
      <w:proofErr w:type="spellEnd"/>
      <w:r w:rsidRPr="00AD1762">
        <w:t xml:space="preserve"> </w:t>
      </w:r>
      <w:proofErr w:type="spellStart"/>
      <w:r w:rsidRPr="00AD1762">
        <w:t>egyszer</w:t>
      </w:r>
      <w:r w:rsidR="00AD1762">
        <w:t>ű</w:t>
      </w:r>
      <w:proofErr w:type="spellEnd"/>
      <w:r w:rsidRPr="00AD1762">
        <w:t xml:space="preserve"> </w:t>
      </w:r>
      <w:proofErr w:type="spellStart"/>
      <w:r w:rsidRPr="00AD1762">
        <w:t>id</w:t>
      </w:r>
      <w:r w:rsidR="00AD1762">
        <w:t>ő</w:t>
      </w:r>
      <w:r w:rsidRPr="00AD1762">
        <w:t>mér</w:t>
      </w:r>
      <w:r w:rsidR="00AD1762">
        <w:t>ő</w:t>
      </w:r>
      <w:proofErr w:type="spellEnd"/>
      <w:r w:rsidRPr="00AD1762">
        <w:t xml:space="preserve"> </w:t>
      </w:r>
      <w:proofErr w:type="spellStart"/>
      <w:r w:rsidRPr="00AD1762">
        <w:t>eszköz</w:t>
      </w:r>
      <w:proofErr w:type="spellEnd"/>
      <w:r w:rsidRPr="00AD1762">
        <w:t xml:space="preserve"> </w:t>
      </w:r>
      <w:proofErr w:type="spellStart"/>
      <w:r w:rsidRPr="00AD1762">
        <w:t>beszerzését</w:t>
      </w:r>
      <w:proofErr w:type="spellEnd"/>
      <w:r w:rsidRPr="00AD1762">
        <w:t xml:space="preserve"> is).</w:t>
      </w:r>
    </w:p>
    <w:p w:rsidR="00BE7618" w:rsidRDefault="00191588" w:rsidP="0008334F">
      <w:pPr>
        <w:jc w:val="both"/>
      </w:pPr>
      <w:r w:rsidRPr="00AD1762">
        <w:lastRenderedPageBreak/>
        <w:t xml:space="preserve">A </w:t>
      </w:r>
      <w:proofErr w:type="spellStart"/>
      <w:r w:rsidRPr="00AD1762">
        <w:t>meglév</w:t>
      </w:r>
      <w:r w:rsidR="00AD1762">
        <w:t>ő</w:t>
      </w:r>
      <w:proofErr w:type="spellEnd"/>
      <w:r w:rsidRPr="00AD1762">
        <w:t xml:space="preserve"> </w:t>
      </w:r>
      <w:proofErr w:type="spellStart"/>
      <w:r w:rsidRPr="00AD1762">
        <w:t>tartalékkal</w:t>
      </w:r>
      <w:proofErr w:type="spellEnd"/>
      <w:r w:rsidRPr="00AD1762">
        <w:t xml:space="preserve"> </w:t>
      </w:r>
      <w:proofErr w:type="spellStart"/>
      <w:r w:rsidRPr="00AD1762">
        <w:t>illetve</w:t>
      </w:r>
      <w:proofErr w:type="spellEnd"/>
      <w:r w:rsidRPr="00AD1762">
        <w:t xml:space="preserve"> </w:t>
      </w:r>
      <w:proofErr w:type="spellStart"/>
      <w:proofErr w:type="gramStart"/>
      <w:r w:rsidRPr="00AD1762">
        <w:t>az</w:t>
      </w:r>
      <w:proofErr w:type="spellEnd"/>
      <w:proofErr w:type="gramEnd"/>
      <w:r w:rsidRPr="00AD1762">
        <w:t xml:space="preserve"> </w:t>
      </w:r>
      <w:proofErr w:type="spellStart"/>
      <w:r w:rsidRPr="00AD1762">
        <w:t>igényelt</w:t>
      </w:r>
      <w:proofErr w:type="spellEnd"/>
      <w:r w:rsidRPr="00AD1762">
        <w:t xml:space="preserve"> </w:t>
      </w:r>
      <w:proofErr w:type="spellStart"/>
      <w:r w:rsidRPr="00AD1762">
        <w:t>támogatással</w:t>
      </w:r>
      <w:proofErr w:type="spellEnd"/>
      <w:r w:rsidRPr="00AD1762">
        <w:t xml:space="preserve"> </w:t>
      </w:r>
      <w:proofErr w:type="spellStart"/>
      <w:r w:rsidRPr="00AD1762">
        <w:t>együtt</w:t>
      </w:r>
      <w:proofErr w:type="spellEnd"/>
      <w:r w:rsidRPr="00AD1762">
        <w:t xml:space="preserve"> a </w:t>
      </w:r>
      <w:proofErr w:type="spellStart"/>
      <w:r w:rsidRPr="00AD1762">
        <w:t>szakosztály</w:t>
      </w:r>
      <w:proofErr w:type="spellEnd"/>
      <w:r w:rsidRPr="00AD1762">
        <w:t xml:space="preserve"> </w:t>
      </w:r>
      <w:proofErr w:type="spellStart"/>
      <w:r w:rsidRPr="00AD1762">
        <w:t>mérlege</w:t>
      </w:r>
      <w:proofErr w:type="spellEnd"/>
      <w:r w:rsidRPr="00AD1762">
        <w:t xml:space="preserve"> </w:t>
      </w:r>
      <w:proofErr w:type="spellStart"/>
      <w:r w:rsidRPr="00AD1762">
        <w:t>továbbra</w:t>
      </w:r>
      <w:proofErr w:type="spellEnd"/>
      <w:r w:rsidRPr="00AD1762">
        <w:t xml:space="preserve"> is </w:t>
      </w:r>
      <w:proofErr w:type="spellStart"/>
      <w:r w:rsidRPr="00AD1762">
        <w:t>fenntartható</w:t>
      </w:r>
      <w:proofErr w:type="spellEnd"/>
      <w:r w:rsidR="0008334F">
        <w:t xml:space="preserve"> </w:t>
      </w:r>
      <w:proofErr w:type="spellStart"/>
      <w:r w:rsidRPr="00AD1762">
        <w:t>lesz</w:t>
      </w:r>
      <w:proofErr w:type="spellEnd"/>
      <w:r w:rsidRPr="00AD1762">
        <w:t>.</w:t>
      </w:r>
    </w:p>
    <w:p w:rsidR="00BA2FCB" w:rsidRDefault="00BA2FCB" w:rsidP="00BE7618">
      <w:pPr>
        <w:rPr>
          <w:b/>
        </w:rPr>
      </w:pPr>
    </w:p>
    <w:p w:rsidR="00BA2FCB" w:rsidRDefault="00BA2FCB" w:rsidP="00BE7618">
      <w:pPr>
        <w:rPr>
          <w:b/>
        </w:rPr>
      </w:pPr>
    </w:p>
    <w:p w:rsidR="00BE7618" w:rsidRPr="0008334F" w:rsidRDefault="00BE7618" w:rsidP="00BE7618">
      <w:pPr>
        <w:rPr>
          <w:b/>
        </w:rPr>
      </w:pPr>
      <w:proofErr w:type="spellStart"/>
      <w:r w:rsidRPr="0008334F">
        <w:rPr>
          <w:b/>
        </w:rPr>
        <w:t>Női</w:t>
      </w:r>
      <w:proofErr w:type="spellEnd"/>
      <w:r w:rsidRPr="0008334F">
        <w:rPr>
          <w:b/>
        </w:rPr>
        <w:t xml:space="preserve"> </w:t>
      </w:r>
      <w:proofErr w:type="spellStart"/>
      <w:r w:rsidRPr="0008334F">
        <w:rPr>
          <w:b/>
        </w:rPr>
        <w:t>Gyógy-kondicionáló</w:t>
      </w:r>
      <w:proofErr w:type="spellEnd"/>
      <w:r w:rsidRPr="0008334F">
        <w:rPr>
          <w:b/>
        </w:rPr>
        <w:t xml:space="preserve"> </w:t>
      </w:r>
      <w:proofErr w:type="spellStart"/>
      <w:r w:rsidRPr="0008334F">
        <w:rPr>
          <w:b/>
        </w:rPr>
        <w:t>torna</w:t>
      </w:r>
      <w:proofErr w:type="spellEnd"/>
      <w:r w:rsidRPr="0008334F">
        <w:rPr>
          <w:b/>
        </w:rPr>
        <w:t xml:space="preserve"> (</w:t>
      </w:r>
      <w:r w:rsidRPr="0008334F">
        <w:rPr>
          <w:b/>
          <w:lang w:val="hu-HU"/>
        </w:rPr>
        <w:t xml:space="preserve">Szakosztályvezető: </w:t>
      </w:r>
      <w:proofErr w:type="spellStart"/>
      <w:r w:rsidRPr="0008334F">
        <w:rPr>
          <w:b/>
        </w:rPr>
        <w:t>Szereminé</w:t>
      </w:r>
      <w:proofErr w:type="spellEnd"/>
      <w:r w:rsidRPr="0008334F">
        <w:rPr>
          <w:b/>
        </w:rPr>
        <w:t xml:space="preserve"> </w:t>
      </w:r>
      <w:proofErr w:type="spellStart"/>
      <w:r w:rsidRPr="0008334F">
        <w:rPr>
          <w:b/>
        </w:rPr>
        <w:t>Merényi</w:t>
      </w:r>
      <w:proofErr w:type="spellEnd"/>
      <w:r w:rsidRPr="0008334F">
        <w:rPr>
          <w:b/>
        </w:rPr>
        <w:t xml:space="preserve"> </w:t>
      </w:r>
      <w:proofErr w:type="spellStart"/>
      <w:r w:rsidRPr="0008334F">
        <w:rPr>
          <w:b/>
        </w:rPr>
        <w:t>Ágnes</w:t>
      </w:r>
      <w:proofErr w:type="spellEnd"/>
      <w:r w:rsidRPr="0008334F">
        <w:rPr>
          <w:b/>
        </w:rPr>
        <w:t>)</w:t>
      </w:r>
    </w:p>
    <w:p w:rsidR="0008334F" w:rsidRDefault="0008334F" w:rsidP="00BE7618"/>
    <w:p w:rsidR="00BE7618" w:rsidRDefault="00BE7618" w:rsidP="00BE7618">
      <w:r>
        <w:t xml:space="preserve">A </w:t>
      </w:r>
      <w:proofErr w:type="spellStart"/>
      <w:r>
        <w:t>Szakosztály</w:t>
      </w:r>
      <w:proofErr w:type="spellEnd"/>
      <w:r>
        <w:t xml:space="preserve"> </w:t>
      </w:r>
      <w:proofErr w:type="spellStart"/>
      <w:r>
        <w:t>változatlanul</w:t>
      </w:r>
      <w:proofErr w:type="spellEnd"/>
      <w:r>
        <w:t xml:space="preserve">,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, </w:t>
      </w:r>
      <w:proofErr w:type="spellStart"/>
      <w:r>
        <w:t>hétfői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r>
        <w:t>foglalkozásait</w:t>
      </w:r>
      <w:proofErr w:type="spellEnd"/>
      <w:r>
        <w:t xml:space="preserve"> 17-18 </w:t>
      </w:r>
      <w:proofErr w:type="spellStart"/>
      <w:r>
        <w:t>ór</w:t>
      </w:r>
      <w:r w:rsidR="0008334F">
        <w:t>a</w:t>
      </w:r>
      <w:proofErr w:type="spellEnd"/>
      <w:r w:rsidR="0008334F">
        <w:t xml:space="preserve"> </w:t>
      </w:r>
      <w:proofErr w:type="spellStart"/>
      <w:r w:rsidR="0008334F">
        <w:t>között</w:t>
      </w:r>
      <w:proofErr w:type="spellEnd"/>
      <w:r w:rsidR="0008334F">
        <w:t xml:space="preserve"> </w:t>
      </w:r>
      <w:proofErr w:type="spellStart"/>
      <w:r>
        <w:t>Nádai</w:t>
      </w:r>
      <w:proofErr w:type="spellEnd"/>
      <w:r>
        <w:t xml:space="preserve"> </w:t>
      </w:r>
      <w:proofErr w:type="spellStart"/>
      <w:r>
        <w:t>Krisztina</w:t>
      </w:r>
      <w:proofErr w:type="spellEnd"/>
      <w:r w:rsidRPr="00BC0EB6">
        <w:t xml:space="preserve"> </w:t>
      </w:r>
      <w:proofErr w:type="spellStart"/>
      <w:r>
        <w:t>gyógytornász</w:t>
      </w:r>
      <w:proofErr w:type="spellEnd"/>
      <w:r>
        <w:t xml:space="preserve"> </w:t>
      </w:r>
      <w:proofErr w:type="spellStart"/>
      <w:r>
        <w:t>vezetésével</w:t>
      </w:r>
      <w:proofErr w:type="spellEnd"/>
      <w:r w:rsidRPr="00E8630A">
        <w:t xml:space="preserve"> </w:t>
      </w:r>
      <w:r>
        <w:t xml:space="preserve">a </w:t>
      </w:r>
      <w:proofErr w:type="spellStart"/>
      <w:r>
        <w:t>konditeremben</w:t>
      </w:r>
      <w:proofErr w:type="spellEnd"/>
      <w:r>
        <w:t>.</w:t>
      </w:r>
    </w:p>
    <w:p w:rsidR="00BE7618" w:rsidRDefault="00BE7618" w:rsidP="00BE7618"/>
    <w:p w:rsidR="00BE7618" w:rsidRDefault="00BE7618" w:rsidP="00BE7618">
      <w:r>
        <w:t xml:space="preserve">2012. </w:t>
      </w:r>
      <w:proofErr w:type="spellStart"/>
      <w:r>
        <w:t>óta</w:t>
      </w:r>
      <w:proofErr w:type="spellEnd"/>
      <w:r>
        <w:t xml:space="preserve"> 5000 Ft </w:t>
      </w:r>
      <w:r w:rsidR="0008334F">
        <w:t xml:space="preserve">volt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óradíj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2016 </w:t>
      </w:r>
      <w:proofErr w:type="spellStart"/>
      <w:r>
        <w:t>szeptemberétől</w:t>
      </w:r>
      <w:proofErr w:type="spellEnd"/>
      <w:r>
        <w:t xml:space="preserve"> 7000 Ft-</w:t>
      </w:r>
      <w:proofErr w:type="spellStart"/>
      <w:r>
        <w:t>ra</w:t>
      </w:r>
      <w:proofErr w:type="spellEnd"/>
      <w:r>
        <w:t xml:space="preserve"> </w:t>
      </w:r>
      <w:proofErr w:type="spellStart"/>
      <w:r>
        <w:t>emelt</w:t>
      </w:r>
      <w:proofErr w:type="spellEnd"/>
      <w:r>
        <w:t xml:space="preserve"> a </w:t>
      </w:r>
      <w:proofErr w:type="spellStart"/>
      <w:r>
        <w:t>Százlábú</w:t>
      </w:r>
      <w:proofErr w:type="spellEnd"/>
      <w:r>
        <w:t xml:space="preserve"> Bt.</w:t>
      </w:r>
    </w:p>
    <w:p w:rsidR="00BE7618" w:rsidRDefault="00BE7618" w:rsidP="00BE7618"/>
    <w:p w:rsidR="00BE7618" w:rsidRDefault="00BE7618" w:rsidP="00BE7618">
      <w:proofErr w:type="spellStart"/>
      <w:r>
        <w:t>Felmerült</w:t>
      </w:r>
      <w:proofErr w:type="spellEnd"/>
      <w:r>
        <w:t xml:space="preserve"> </w:t>
      </w:r>
      <w:r w:rsidR="0008334F">
        <w:t xml:space="preserve">a </w:t>
      </w:r>
      <w:proofErr w:type="spellStart"/>
      <w:r w:rsidR="0008334F">
        <w:t>tagoklban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olcsóbb</w:t>
      </w:r>
      <w:proofErr w:type="spellEnd"/>
      <w:r>
        <w:t xml:space="preserve"> </w:t>
      </w:r>
      <w:proofErr w:type="spellStart"/>
      <w:r>
        <w:t>gyógytornászt</w:t>
      </w:r>
      <w:proofErr w:type="spellEnd"/>
      <w:r>
        <w:t xml:space="preserve"> </w:t>
      </w:r>
      <w:proofErr w:type="spellStart"/>
      <w:r>
        <w:t>keres</w:t>
      </w:r>
      <w:r w:rsidR="0008334F">
        <w:t>sene</w:t>
      </w:r>
      <w:r>
        <w:t>k</w:t>
      </w:r>
      <w:proofErr w:type="spellEnd"/>
      <w:r>
        <w:t xml:space="preserve">, de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szaktudással</w:t>
      </w:r>
      <w:proofErr w:type="spellEnd"/>
      <w:r>
        <w:t xml:space="preserve"> </w:t>
      </w:r>
      <w:proofErr w:type="spellStart"/>
      <w:r>
        <w:t>re</w:t>
      </w:r>
      <w:r w:rsidR="0008334F">
        <w:t>ndelkező</w:t>
      </w:r>
      <w:proofErr w:type="spellEnd"/>
      <w:r w:rsidR="0008334F">
        <w:t xml:space="preserve"> </w:t>
      </w:r>
      <w:proofErr w:type="spellStart"/>
      <w:r w:rsidR="0008334F">
        <w:t>tornatanáru</w:t>
      </w:r>
      <w:r>
        <w:t>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volt.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elfogadt</w:t>
      </w:r>
      <w:r w:rsidR="0008334F">
        <w:t>á</w:t>
      </w:r>
      <w:r>
        <w:t>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áremelést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megszavazt</w:t>
      </w:r>
      <w:r w:rsidR="0008334F">
        <w:t>á</w:t>
      </w:r>
      <w:r>
        <w:t>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tagdíjat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eddigi</w:t>
      </w:r>
      <w:proofErr w:type="spellEnd"/>
      <w:r>
        <w:t xml:space="preserve"> 15 </w:t>
      </w:r>
      <w:proofErr w:type="spellStart"/>
      <w:r>
        <w:t>eFt-ról</w:t>
      </w:r>
      <w:proofErr w:type="spellEnd"/>
      <w:r>
        <w:t xml:space="preserve"> 20eFt-ra </w:t>
      </w:r>
      <w:proofErr w:type="spellStart"/>
      <w:r>
        <w:t>emel</w:t>
      </w:r>
      <w:r w:rsidR="0008334F">
        <w:t>i</w:t>
      </w:r>
      <w:r>
        <w:t>k</w:t>
      </w:r>
      <w:proofErr w:type="spellEnd"/>
      <w:r>
        <w:t>.</w:t>
      </w:r>
    </w:p>
    <w:p w:rsidR="00BE7618" w:rsidRDefault="00BE7618" w:rsidP="00BE7618"/>
    <w:p w:rsidR="00BE7618" w:rsidRDefault="00BE7618" w:rsidP="00BE7618">
      <w:proofErr w:type="spellStart"/>
      <w:r>
        <w:t>Természetesen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csökkenthető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összeg</w:t>
      </w:r>
      <w:proofErr w:type="spellEnd"/>
      <w:r>
        <w:t xml:space="preserve">, de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érdeklődés</w:t>
      </w:r>
      <w:proofErr w:type="spellEnd"/>
      <w:r>
        <w:t xml:space="preserve"> a </w:t>
      </w:r>
      <w:proofErr w:type="spellStart"/>
      <w:r>
        <w:t>kollégák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,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kényelmes</w:t>
      </w:r>
      <w:proofErr w:type="spellEnd"/>
      <w:r>
        <w:t xml:space="preserve"> </w:t>
      </w:r>
      <w:proofErr w:type="spellStart"/>
      <w:r>
        <w:t>dolog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tanár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ide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utazgatni</w:t>
      </w:r>
      <w:proofErr w:type="spellEnd"/>
      <w:r>
        <w:t xml:space="preserve"> </w:t>
      </w:r>
      <w:proofErr w:type="spellStart"/>
      <w:r>
        <w:t>sehová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felsétálni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emeletre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tornázni</w:t>
      </w:r>
      <w:proofErr w:type="spellEnd"/>
      <w:r>
        <w:t xml:space="preserve">. </w:t>
      </w:r>
    </w:p>
    <w:p w:rsidR="00BE7618" w:rsidRDefault="00BE7618" w:rsidP="00BE7618"/>
    <w:p w:rsidR="00BE7618" w:rsidRDefault="00BE7618" w:rsidP="00BE7618">
      <w:proofErr w:type="spellStart"/>
      <w:r>
        <w:t>Több</w:t>
      </w:r>
      <w:proofErr w:type="spellEnd"/>
      <w:r>
        <w:t xml:space="preserve"> </w:t>
      </w:r>
      <w:proofErr w:type="spellStart"/>
      <w:r>
        <w:t>kolléganő</w:t>
      </w:r>
      <w:proofErr w:type="spellEnd"/>
      <w:r>
        <w:t xml:space="preserve"> </w:t>
      </w:r>
      <w:proofErr w:type="spellStart"/>
      <w:r>
        <w:t>ugyan</w:t>
      </w:r>
      <w:proofErr w:type="spellEnd"/>
      <w:r>
        <w:t xml:space="preserve"> </w:t>
      </w:r>
      <w:proofErr w:type="spellStart"/>
      <w:r>
        <w:t>jelezte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szándékában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elkezdeni</w:t>
      </w:r>
      <w:proofErr w:type="spellEnd"/>
      <w:r>
        <w:t xml:space="preserve"> a </w:t>
      </w:r>
      <w:proofErr w:type="spellStart"/>
      <w:r>
        <w:t>kondi</w:t>
      </w:r>
      <w:proofErr w:type="spellEnd"/>
      <w:r>
        <w:t xml:space="preserve"> </w:t>
      </w:r>
      <w:proofErr w:type="spellStart"/>
      <w:r>
        <w:t>tornát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valósult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. </w:t>
      </w:r>
    </w:p>
    <w:p w:rsidR="00BE7618" w:rsidRDefault="00BE7618" w:rsidP="00191588"/>
    <w:p w:rsidR="00BE7618" w:rsidRDefault="00BE7618" w:rsidP="00191588"/>
    <w:p w:rsidR="00BE7618" w:rsidRPr="0008334F" w:rsidRDefault="00BE7618" w:rsidP="00BE7618">
      <w:pPr>
        <w:rPr>
          <w:b/>
          <w:lang w:val="hu-HU"/>
        </w:rPr>
      </w:pPr>
      <w:r w:rsidRPr="0008334F">
        <w:rPr>
          <w:b/>
          <w:lang w:val="hu-HU"/>
        </w:rPr>
        <w:t>Evezés (Szakosztályvezető: Szántó György)</w:t>
      </w:r>
    </w:p>
    <w:p w:rsidR="00BE7618" w:rsidRDefault="00BE7618" w:rsidP="00BE7618">
      <w:pPr>
        <w:rPr>
          <w:lang w:val="hu-HU"/>
        </w:rPr>
      </w:pPr>
    </w:p>
    <w:p w:rsidR="00BE7618" w:rsidRDefault="00BE7618" w:rsidP="00BE7618">
      <w:pPr>
        <w:rPr>
          <w:lang w:val="hu-HU"/>
        </w:rPr>
      </w:pPr>
      <w:r>
        <w:rPr>
          <w:lang w:val="hu-HU"/>
        </w:rPr>
        <w:t>Ebben az évben kétszeresen is</w:t>
      </w:r>
      <w:r w:rsidRPr="00ED5218">
        <w:rPr>
          <w:lang w:val="hu-HU"/>
        </w:rPr>
        <w:t xml:space="preserve"> </w:t>
      </w:r>
      <w:r>
        <w:rPr>
          <w:lang w:val="hu-HU"/>
        </w:rPr>
        <w:t>jól sikerült az évkezdés. A sikeres támogatókeresés eredményeként el tudt</w:t>
      </w:r>
      <w:r w:rsidR="0008334F">
        <w:rPr>
          <w:lang w:val="hu-HU"/>
        </w:rPr>
        <w:t>á</w:t>
      </w:r>
      <w:r>
        <w:rPr>
          <w:lang w:val="hu-HU"/>
        </w:rPr>
        <w:t>k érni,</w:t>
      </w:r>
      <w:r w:rsidR="0008334F">
        <w:rPr>
          <w:lang w:val="hu-HU"/>
        </w:rPr>
        <w:t xml:space="preserve"> hogy a folyó évi költségvetésü</w:t>
      </w:r>
      <w:r>
        <w:rPr>
          <w:lang w:val="hu-HU"/>
        </w:rPr>
        <w:t>knek jelentős többlete legyen</w:t>
      </w:r>
      <w:r w:rsidR="0008334F">
        <w:rPr>
          <w:lang w:val="hu-HU"/>
        </w:rPr>
        <w:t xml:space="preserve">, </w:t>
      </w:r>
      <w:r>
        <w:rPr>
          <w:lang w:val="hu-HU"/>
        </w:rPr>
        <w:t>így most több figyelmet fordíthat</w:t>
      </w:r>
      <w:r w:rsidR="0008334F">
        <w:rPr>
          <w:lang w:val="hu-HU"/>
        </w:rPr>
        <w:t>na</w:t>
      </w:r>
      <w:r>
        <w:rPr>
          <w:lang w:val="hu-HU"/>
        </w:rPr>
        <w:t>k az evezés népszerűsítésére és a hajóhasználati napok számának emelésére.</w:t>
      </w:r>
    </w:p>
    <w:p w:rsidR="00BE7618" w:rsidRDefault="00BE7618" w:rsidP="00BE7618">
      <w:pPr>
        <w:rPr>
          <w:lang w:val="hu-HU"/>
        </w:rPr>
      </w:pPr>
    </w:p>
    <w:p w:rsidR="00BE7618" w:rsidRDefault="00BE7618" w:rsidP="00BE7618">
      <w:pPr>
        <w:rPr>
          <w:lang w:val="hu-HU"/>
        </w:rPr>
      </w:pPr>
      <w:r>
        <w:rPr>
          <w:lang w:val="hu-HU"/>
        </w:rPr>
        <w:t>Ugyancsak jól sikerült a szokásos karbantartás, amelyet június 5-én tartott</w:t>
      </w:r>
      <w:r w:rsidR="0008334F">
        <w:rPr>
          <w:lang w:val="hu-HU"/>
        </w:rPr>
        <w:t>a</w:t>
      </w:r>
      <w:r>
        <w:rPr>
          <w:lang w:val="hu-HU"/>
        </w:rPr>
        <w:t>k az immár régi/ új helyen, a Béke2 csónakházban. Mivel az időjárás ezúttal nem volt túl kegyes hozzá</w:t>
      </w:r>
      <w:r w:rsidR="0008334F">
        <w:rPr>
          <w:lang w:val="hu-HU"/>
        </w:rPr>
        <w:t>ju</w:t>
      </w:r>
      <w:r>
        <w:rPr>
          <w:lang w:val="hu-HU"/>
        </w:rPr>
        <w:t xml:space="preserve">k, így az egyik </w:t>
      </w:r>
      <w:proofErr w:type="spellStart"/>
      <w:r>
        <w:rPr>
          <w:lang w:val="hu-HU"/>
        </w:rPr>
        <w:t>kiel</w:t>
      </w:r>
      <w:proofErr w:type="spellEnd"/>
      <w:r>
        <w:rPr>
          <w:lang w:val="hu-HU"/>
        </w:rPr>
        <w:t xml:space="preserve"> (Bit) ellenőrzésére és karbantartására sajnos nem volt idő. Az összes többi hajót és tartozékot viszont sikerült átnézni, rendbe tenni, lemosni, lecsiszolni és lakkozni is. Emellett a most beszerzett karbantartási anyagokból maradt még a következő évi munkákhoz is némi tartalék.</w:t>
      </w:r>
    </w:p>
    <w:p w:rsidR="00BE7618" w:rsidRDefault="00BE7618" w:rsidP="00BE7618">
      <w:pPr>
        <w:rPr>
          <w:lang w:val="hu-HU"/>
        </w:rPr>
      </w:pPr>
    </w:p>
    <w:p w:rsidR="00BE7618" w:rsidRDefault="00BE7618" w:rsidP="00BE7618">
      <w:pPr>
        <w:rPr>
          <w:lang w:val="hu-HU"/>
        </w:rPr>
      </w:pPr>
      <w:r>
        <w:rPr>
          <w:lang w:val="hu-HU"/>
        </w:rPr>
        <w:t>Az év közben ismét jelentkezett viszont néhány korábbi gond, így pótolni kellett az egyik kenu elveszett emelő kötelét, és az egyik kajakból is eltűnt az első lábtartó. A következő évi felújítás során rendbe kell majd te</w:t>
      </w:r>
      <w:r w:rsidR="00BA2FCB">
        <w:rPr>
          <w:lang w:val="hu-HU"/>
        </w:rPr>
        <w:t>nni</w:t>
      </w:r>
      <w:r>
        <w:rPr>
          <w:lang w:val="hu-HU"/>
        </w:rPr>
        <w:t xml:space="preserve"> több </w:t>
      </w:r>
      <w:proofErr w:type="spellStart"/>
      <w:r>
        <w:rPr>
          <w:lang w:val="hu-HU"/>
        </w:rPr>
        <w:t>kiel</w:t>
      </w:r>
      <w:proofErr w:type="spellEnd"/>
      <w:r>
        <w:rPr>
          <w:lang w:val="hu-HU"/>
        </w:rPr>
        <w:t xml:space="preserve"> lapát bőrözését és a toll végi védő lemezek rögzí</w:t>
      </w:r>
      <w:r w:rsidR="00BA2FCB">
        <w:rPr>
          <w:lang w:val="hu-HU"/>
        </w:rPr>
        <w:t>tését is. Itt is meg kell említeni</w:t>
      </w:r>
      <w:r>
        <w:rPr>
          <w:lang w:val="hu-HU"/>
        </w:rPr>
        <w:t xml:space="preserve"> viszont a karbantartásban jeleskedő tag</w:t>
      </w:r>
      <w:r w:rsidR="00BA2FCB">
        <w:rPr>
          <w:lang w:val="hu-HU"/>
        </w:rPr>
        <w:t>o</w:t>
      </w:r>
      <w:r>
        <w:rPr>
          <w:lang w:val="hu-HU"/>
        </w:rPr>
        <w:t xml:space="preserve">k nevét: </w:t>
      </w:r>
      <w:r w:rsidRPr="003A6356">
        <w:rPr>
          <w:lang w:val="hu-HU"/>
        </w:rPr>
        <w:t>Gosztonyi Laci</w:t>
      </w:r>
      <w:r>
        <w:rPr>
          <w:lang w:val="hu-HU"/>
        </w:rPr>
        <w:t xml:space="preserve">, </w:t>
      </w:r>
      <w:proofErr w:type="spellStart"/>
      <w:r w:rsidRPr="003A6356">
        <w:rPr>
          <w:lang w:val="hu-HU"/>
        </w:rPr>
        <w:t>Majdik</w:t>
      </w:r>
      <w:proofErr w:type="spellEnd"/>
      <w:r w:rsidRPr="003A6356">
        <w:rPr>
          <w:lang w:val="hu-HU"/>
        </w:rPr>
        <w:t xml:space="preserve"> András</w:t>
      </w:r>
      <w:r>
        <w:rPr>
          <w:lang w:val="hu-HU"/>
        </w:rPr>
        <w:t xml:space="preserve">, </w:t>
      </w:r>
      <w:r w:rsidRPr="003A6356">
        <w:rPr>
          <w:lang w:val="hu-HU"/>
        </w:rPr>
        <w:t>Albert Anna</w:t>
      </w:r>
      <w:r>
        <w:rPr>
          <w:lang w:val="hu-HU"/>
        </w:rPr>
        <w:t xml:space="preserve">, Kopácsi Sándor és barátnője, valamint </w:t>
      </w:r>
      <w:proofErr w:type="spellStart"/>
      <w:r>
        <w:rPr>
          <w:lang w:val="hu-HU"/>
        </w:rPr>
        <w:t>Újfalusi</w:t>
      </w:r>
      <w:proofErr w:type="spellEnd"/>
      <w:r>
        <w:rPr>
          <w:lang w:val="hu-HU"/>
        </w:rPr>
        <w:t xml:space="preserve"> László.</w:t>
      </w:r>
    </w:p>
    <w:p w:rsidR="00BE7618" w:rsidRDefault="00BE7618" w:rsidP="00BE7618">
      <w:pPr>
        <w:rPr>
          <w:lang w:val="hu-HU"/>
        </w:rPr>
      </w:pPr>
    </w:p>
    <w:p w:rsidR="00BE7618" w:rsidRDefault="00BE7618" w:rsidP="00BE7618">
      <w:pPr>
        <w:rPr>
          <w:lang w:val="hu-HU"/>
        </w:rPr>
      </w:pPr>
      <w:r>
        <w:rPr>
          <w:lang w:val="hu-HU"/>
        </w:rPr>
        <w:t>Valamelyest sikerült emelni a hajóhasználati napok számát (18 napra a tavalyi 15 után), de ez még mindig jócskán elmarad a korábbi években megszokottól. Ugyanakkor az elmúlt évben tapasztalt pozitív pénzügyi egyenleg, ezen belül az állandósuló tagdíjbevétel és a külső pártolói megállapodások meghosszabbítása, valamint az ezekkel arányos intézeti támogatás révén már az is elérhetőnek látszik, hogy néhány év alatt - a bérleti díj jelenlegi gyakorlat</w:t>
      </w:r>
      <w:r w:rsidR="00BA2FCB">
        <w:rPr>
          <w:lang w:val="hu-HU"/>
        </w:rPr>
        <w:t xml:space="preserve"> </w:t>
      </w:r>
      <w:r>
        <w:rPr>
          <w:lang w:val="hu-HU"/>
        </w:rPr>
        <w:t>szerinti előfinanszírozása ellenére - a görgetett egyenleg is pozitívba kerüljön.</w:t>
      </w:r>
    </w:p>
    <w:p w:rsidR="00BE7618" w:rsidRDefault="00BE7618" w:rsidP="00BE7618">
      <w:pPr>
        <w:rPr>
          <w:lang w:val="hu-HU"/>
        </w:rPr>
      </w:pPr>
    </w:p>
    <w:p w:rsidR="00BE7618" w:rsidRDefault="00BA2FCB" w:rsidP="00BE7618">
      <w:pPr>
        <w:rPr>
          <w:lang w:val="hu-HU"/>
        </w:rPr>
      </w:pPr>
      <w:r>
        <w:rPr>
          <w:lang w:val="hu-HU"/>
        </w:rPr>
        <w:t>Továbbra is nagy súlyt akarna</w:t>
      </w:r>
      <w:r w:rsidR="00BE7618">
        <w:rPr>
          <w:lang w:val="hu-HU"/>
        </w:rPr>
        <w:t>k fektetni arra, hogy a szakosztály létszáma (és ezen belül főleg az aktív tagok részaránya) még tovább emelkedjen,</w:t>
      </w:r>
      <w:r w:rsidR="00BE7618" w:rsidRPr="00F74AF4">
        <w:rPr>
          <w:lang w:val="hu-HU"/>
        </w:rPr>
        <w:t xml:space="preserve"> </w:t>
      </w:r>
      <w:r w:rsidR="00BE7618">
        <w:rPr>
          <w:lang w:val="hu-HU"/>
        </w:rPr>
        <w:t>és több figyelmet akar</w:t>
      </w:r>
      <w:r>
        <w:rPr>
          <w:lang w:val="hu-HU"/>
        </w:rPr>
        <w:t>na</w:t>
      </w:r>
      <w:r w:rsidR="00BE7618">
        <w:rPr>
          <w:lang w:val="hu-HU"/>
        </w:rPr>
        <w:t>k fordítani az evezés népszerűsítésére. Ezért ismételten meg kell hirdetni a korábbi toborzó és népszerűsítő akciókat, a szakosztályi életről szóló beszámolókat és felhívásokat, és persze a jelenlegi tagok körében is sokat kell tenni a nagyobb aktivitás érdekében.</w:t>
      </w:r>
    </w:p>
    <w:p w:rsidR="00BE7618" w:rsidRDefault="00BE7618" w:rsidP="00191588"/>
    <w:p w:rsidR="00BA2FCB" w:rsidRDefault="00BA2FCB" w:rsidP="00191588"/>
    <w:p w:rsidR="00BA2FCB" w:rsidRDefault="00BA2FCB" w:rsidP="00191588">
      <w:r>
        <w:t xml:space="preserve">Budapest, 2017. </w:t>
      </w:r>
      <w:proofErr w:type="spellStart"/>
      <w:proofErr w:type="gramStart"/>
      <w:r>
        <w:t>január</w:t>
      </w:r>
      <w:proofErr w:type="spellEnd"/>
      <w:proofErr w:type="gramEnd"/>
      <w:r>
        <w:t xml:space="preserve"> 31.</w:t>
      </w:r>
    </w:p>
    <w:p w:rsidR="00BA2FCB" w:rsidRDefault="00BA2FCB" w:rsidP="00191588"/>
    <w:p w:rsidR="00BA2FCB" w:rsidRDefault="00BA2FCB" w:rsidP="00191588"/>
    <w:p w:rsidR="00BA2FCB" w:rsidRDefault="00BA2FCB" w:rsidP="00191588"/>
    <w:p w:rsidR="00BA2FCB" w:rsidRDefault="00BA2FCB" w:rsidP="0019158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</w:p>
    <w:p w:rsidR="00BA2FCB" w:rsidRDefault="00BA2FCB" w:rsidP="00191588">
      <w:r>
        <w:tab/>
      </w:r>
      <w:r>
        <w:tab/>
      </w:r>
      <w:r>
        <w:tab/>
      </w:r>
      <w:r>
        <w:tab/>
      </w:r>
      <w:r>
        <w:tab/>
      </w:r>
      <w:r>
        <w:tab/>
        <w:t xml:space="preserve">SZTAKI SC </w:t>
      </w:r>
      <w:proofErr w:type="spellStart"/>
      <w:r>
        <w:t>elnök</w:t>
      </w:r>
      <w:proofErr w:type="spellEnd"/>
    </w:p>
    <w:sectPr w:rsidR="00BA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00F"/>
    <w:multiLevelType w:val="hybridMultilevel"/>
    <w:tmpl w:val="0A8E42EE"/>
    <w:lvl w:ilvl="0" w:tplc="5C022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23D"/>
    <w:multiLevelType w:val="hybridMultilevel"/>
    <w:tmpl w:val="1A2666D6"/>
    <w:lvl w:ilvl="0" w:tplc="1E6A3630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AA4"/>
    <w:multiLevelType w:val="hybridMultilevel"/>
    <w:tmpl w:val="68528826"/>
    <w:lvl w:ilvl="0" w:tplc="CE16CC7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A141B4E"/>
    <w:multiLevelType w:val="hybridMultilevel"/>
    <w:tmpl w:val="5406CA62"/>
    <w:lvl w:ilvl="0" w:tplc="1B027844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1A"/>
    <w:rsid w:val="0008334F"/>
    <w:rsid w:val="00191588"/>
    <w:rsid w:val="0022692A"/>
    <w:rsid w:val="002C1F2C"/>
    <w:rsid w:val="002D0C12"/>
    <w:rsid w:val="00437C1A"/>
    <w:rsid w:val="00571CE3"/>
    <w:rsid w:val="005B247D"/>
    <w:rsid w:val="00694FF1"/>
    <w:rsid w:val="007B6FA2"/>
    <w:rsid w:val="00AD1762"/>
    <w:rsid w:val="00AD292B"/>
    <w:rsid w:val="00B142A1"/>
    <w:rsid w:val="00BA2FCB"/>
    <w:rsid w:val="00BE7618"/>
    <w:rsid w:val="00D76A3D"/>
    <w:rsid w:val="00E24717"/>
    <w:rsid w:val="00E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E65D-7C30-4749-BB4F-D534168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37C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0C12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1323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2017-02-16T07:42:00Z</dcterms:created>
  <dcterms:modified xsi:type="dcterms:W3CDTF">2017-02-20T12:27:00Z</dcterms:modified>
</cp:coreProperties>
</file>